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C49D5" w14:textId="4EDDF817" w:rsidR="0016526D" w:rsidRPr="00451427" w:rsidRDefault="00A25E8B" w:rsidP="00195581">
      <w:pPr>
        <w:pStyle w:val="Heading1"/>
        <w:tabs>
          <w:tab w:val="left" w:pos="10170"/>
        </w:tabs>
        <w:spacing w:before="204"/>
        <w:ind w:left="460"/>
        <w:rPr>
          <w:rFonts w:ascii="Helvetica" w:hAnsi="Helvetica"/>
        </w:rPr>
      </w:pPr>
      <w:bookmarkStart w:id="0" w:name="_GoBack"/>
      <w:r>
        <w:rPr>
          <w:noProof/>
          <w:sz w:val="24"/>
        </w:rPr>
        <w:drawing>
          <wp:anchor distT="0" distB="0" distL="114300" distR="114300" simplePos="0" relativeHeight="251661312" behindDoc="1" locked="0" layoutInCell="1" allowOverlap="1" wp14:anchorId="05C92857" wp14:editId="4FD9A89B">
            <wp:simplePos x="0" y="0"/>
            <wp:positionH relativeFrom="column">
              <wp:posOffset>5580043</wp:posOffset>
            </wp:positionH>
            <wp:positionV relativeFrom="paragraph">
              <wp:posOffset>-56025</wp:posOffset>
            </wp:positionV>
            <wp:extent cx="1162050" cy="228600"/>
            <wp:effectExtent l="0" t="0" r="635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bookmarkEnd w:id="0"/>
      <w:r w:rsidR="0016526D" w:rsidRPr="00451427">
        <w:rPr>
          <w:rFonts w:ascii="Helvetica" w:hAnsi="Helvetica"/>
          <w:noProof/>
        </w:rPr>
        <w:drawing>
          <wp:anchor distT="0" distB="0" distL="0" distR="0" simplePos="0" relativeHeight="251659264" behindDoc="0" locked="0" layoutInCell="1" allowOverlap="1" wp14:anchorId="69BB521A" wp14:editId="5249A827">
            <wp:simplePos x="0" y="0"/>
            <wp:positionH relativeFrom="page">
              <wp:posOffset>941908</wp:posOffset>
            </wp:positionH>
            <wp:positionV relativeFrom="paragraph">
              <wp:posOffset>571284</wp:posOffset>
            </wp:positionV>
            <wp:extent cx="1567637" cy="91676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567637" cy="916762"/>
                    </a:xfrm>
                    <a:prstGeom prst="rect">
                      <a:avLst/>
                    </a:prstGeom>
                  </pic:spPr>
                </pic:pic>
              </a:graphicData>
            </a:graphic>
          </wp:anchor>
        </w:drawing>
      </w:r>
      <w:r w:rsidR="0016526D" w:rsidRPr="00451427">
        <w:rPr>
          <w:rFonts w:ascii="Helvetica" w:hAnsi="Helvetica"/>
          <w:color w:val="FFFFFF"/>
          <w:shd w:val="clear" w:color="auto" w:fill="325A8B"/>
        </w:rPr>
        <w:t xml:space="preserve"> </w:t>
      </w:r>
      <w:r w:rsidR="0016526D" w:rsidRPr="00451427">
        <w:rPr>
          <w:rFonts w:ascii="Helvetica" w:hAnsi="Helvetica"/>
          <w:color w:val="FFFFFF"/>
          <w:spacing w:val="1"/>
          <w:shd w:val="clear" w:color="auto" w:fill="325A8B"/>
        </w:rPr>
        <w:t xml:space="preserve"> </w:t>
      </w:r>
      <w:r w:rsidR="0016526D" w:rsidRPr="00451427">
        <w:rPr>
          <w:rFonts w:ascii="Helvetica" w:hAnsi="Helvetica"/>
          <w:color w:val="FFFFFF"/>
          <w:shd w:val="clear" w:color="auto" w:fill="325A8B"/>
        </w:rPr>
        <w:t xml:space="preserve">The </w:t>
      </w:r>
      <w:r w:rsidR="0016526D" w:rsidRPr="00451427">
        <w:rPr>
          <w:rFonts w:ascii="Helvetica" w:hAnsi="Helvetica"/>
          <w:color w:val="FFFFFF"/>
          <w:spacing w:val="-3"/>
          <w:shd w:val="clear" w:color="auto" w:fill="325A8B"/>
        </w:rPr>
        <w:t xml:space="preserve">Board’s </w:t>
      </w:r>
      <w:r w:rsidR="0016526D" w:rsidRPr="00451427">
        <w:rPr>
          <w:rFonts w:ascii="Helvetica" w:hAnsi="Helvetica"/>
          <w:color w:val="FFFFFF"/>
          <w:shd w:val="clear" w:color="auto" w:fill="325A8B"/>
        </w:rPr>
        <w:t>Annual Fundraising</w:t>
      </w:r>
      <w:r w:rsidR="0016526D" w:rsidRPr="00451427">
        <w:rPr>
          <w:rFonts w:ascii="Helvetica" w:hAnsi="Helvetica"/>
          <w:color w:val="FFFFFF"/>
          <w:spacing w:val="-10"/>
          <w:shd w:val="clear" w:color="auto" w:fill="325A8B"/>
        </w:rPr>
        <w:t xml:space="preserve"> </w:t>
      </w:r>
      <w:r w:rsidR="0016526D" w:rsidRPr="00451427">
        <w:rPr>
          <w:rFonts w:ascii="Helvetica" w:hAnsi="Helvetica"/>
          <w:color w:val="FFFFFF"/>
          <w:shd w:val="clear" w:color="auto" w:fill="325A8B"/>
        </w:rPr>
        <w:t>Audit</w:t>
      </w:r>
      <w:r>
        <w:rPr>
          <w:rFonts w:ascii="Helvetica" w:hAnsi="Helvetica"/>
          <w:color w:val="FFFFFF"/>
          <w:shd w:val="clear" w:color="auto" w:fill="325A8B"/>
        </w:rPr>
        <w:t xml:space="preserve">  </w:t>
      </w:r>
    </w:p>
    <w:p w14:paraId="10E95C81" w14:textId="77777777" w:rsidR="0016526D" w:rsidRPr="00451427" w:rsidRDefault="0016526D" w:rsidP="0016526D">
      <w:pPr>
        <w:pStyle w:val="BodyText"/>
        <w:rPr>
          <w:rFonts w:ascii="Helvetica" w:hAnsi="Helvetica"/>
          <w:b/>
          <w:sz w:val="38"/>
        </w:rPr>
      </w:pPr>
    </w:p>
    <w:p w14:paraId="6BB01829" w14:textId="77777777" w:rsidR="0016526D" w:rsidRPr="00451427" w:rsidRDefault="0016526D" w:rsidP="0016526D">
      <w:pPr>
        <w:pStyle w:val="BodyText"/>
        <w:rPr>
          <w:rFonts w:ascii="Helvetica" w:hAnsi="Helvetica"/>
          <w:b/>
          <w:sz w:val="35"/>
        </w:rPr>
      </w:pPr>
    </w:p>
    <w:p w14:paraId="5D9BE02B" w14:textId="77777777" w:rsidR="0016526D" w:rsidRPr="00451427" w:rsidRDefault="0016526D" w:rsidP="00A25E8B">
      <w:pPr>
        <w:spacing w:before="1"/>
        <w:ind w:left="3690"/>
        <w:rPr>
          <w:rFonts w:ascii="Helvetica" w:hAnsi="Helvetica"/>
          <w:b/>
          <w:sz w:val="26"/>
        </w:rPr>
      </w:pPr>
      <w:r w:rsidRPr="00451427">
        <w:rPr>
          <w:rFonts w:ascii="Helvetica" w:hAnsi="Helvetica"/>
          <w:b/>
          <w:color w:val="231F20"/>
          <w:sz w:val="26"/>
        </w:rPr>
        <w:t>10 Statements the Board Must Address Annually</w:t>
      </w:r>
    </w:p>
    <w:p w14:paraId="3FF3B474" w14:textId="77777777" w:rsidR="0016526D" w:rsidRPr="00451427" w:rsidRDefault="0016526D" w:rsidP="0016526D">
      <w:pPr>
        <w:pStyle w:val="BodyText"/>
        <w:rPr>
          <w:rFonts w:ascii="Helvetica" w:hAnsi="Helvetica"/>
          <w:b/>
          <w:sz w:val="30"/>
        </w:rPr>
      </w:pPr>
    </w:p>
    <w:p w14:paraId="035E9006" w14:textId="77777777" w:rsidR="0016526D" w:rsidRPr="00451427" w:rsidRDefault="0016526D" w:rsidP="0016526D">
      <w:pPr>
        <w:pStyle w:val="BodyText"/>
        <w:spacing w:before="8"/>
        <w:rPr>
          <w:rFonts w:ascii="Helvetica" w:hAnsi="Helvetica"/>
          <w:b/>
          <w:i w:val="0"/>
          <w:iCs/>
          <w:sz w:val="44"/>
        </w:rPr>
      </w:pPr>
    </w:p>
    <w:p w14:paraId="5DC7ED66" w14:textId="77777777" w:rsidR="0016526D" w:rsidRPr="00451427" w:rsidRDefault="0016526D" w:rsidP="00451427">
      <w:pPr>
        <w:pStyle w:val="BodyText"/>
        <w:spacing w:before="200"/>
        <w:ind w:left="475" w:right="504" w:hanging="1"/>
        <w:rPr>
          <w:rFonts w:ascii="Helvetica" w:hAnsi="Helvetica"/>
          <w:i w:val="0"/>
          <w:iCs/>
        </w:rPr>
      </w:pPr>
      <w:r w:rsidRPr="00451427">
        <w:rPr>
          <w:rFonts w:ascii="Helvetica" w:hAnsi="Helvetica"/>
          <w:i w:val="0"/>
          <w:iCs/>
          <w:color w:val="231F20"/>
        </w:rPr>
        <w:t>Your board should expect clarity and honesty from the CEO, the Chief Development Officer (CDO), the CFO, staff, and all of the board’s committees. To provide clarity—so board members understand basic fundraising issues and fundraising trends—the information should be presented with a variety of approaches (for the diverse learning styles of your board members) and can include verbal and written reports, dashboards, and graphs. But there’s another important step—an annual checklist.</w:t>
      </w:r>
    </w:p>
    <w:p w14:paraId="3564B850" w14:textId="77777777" w:rsidR="0016526D" w:rsidRPr="00451427" w:rsidRDefault="0016526D" w:rsidP="00451427">
      <w:pPr>
        <w:pStyle w:val="BodyText"/>
        <w:spacing w:before="200"/>
        <w:ind w:left="475" w:right="530"/>
        <w:rPr>
          <w:rFonts w:ascii="Helvetica" w:hAnsi="Helvetica"/>
          <w:i w:val="0"/>
          <w:iCs/>
        </w:rPr>
      </w:pPr>
      <w:r w:rsidRPr="00451427">
        <w:rPr>
          <w:rFonts w:ascii="Helvetica" w:hAnsi="Helvetica"/>
          <w:b/>
          <w:i w:val="0"/>
          <w:iCs/>
          <w:color w:val="231F20"/>
        </w:rPr>
        <w:t xml:space="preserve">TRUE OR FALSE? </w:t>
      </w:r>
      <w:r w:rsidRPr="00451427">
        <w:rPr>
          <w:rFonts w:ascii="Helvetica" w:hAnsi="Helvetica"/>
          <w:i w:val="0"/>
          <w:iCs/>
          <w:color w:val="231F20"/>
        </w:rPr>
        <w:t>Here are 10 statements that can be adapted for your ministry. Ask your CFO and CDO to provide the answers for the question, “How does the board know?” Ultimately, of course, for the board to have faith and trust in the accuracy and veracity of the answers to these statements—the board will be dependent on the honesty and integrity of the CEO and the staff.</w:t>
      </w:r>
    </w:p>
    <w:p w14:paraId="33F6B94E" w14:textId="3124C937" w:rsidR="0016526D" w:rsidRDefault="0016526D" w:rsidP="00451427">
      <w:pPr>
        <w:pStyle w:val="BodyText"/>
        <w:spacing w:before="200"/>
        <w:ind w:left="460" w:right="-20" w:firstLine="15"/>
        <w:rPr>
          <w:rFonts w:ascii="Helvetica" w:hAnsi="Helvetica"/>
          <w:i w:val="0"/>
          <w:iCs/>
          <w:color w:val="231F20"/>
        </w:rPr>
      </w:pPr>
      <w:r w:rsidRPr="00451427">
        <w:rPr>
          <w:rFonts w:ascii="Helvetica" w:hAnsi="Helvetica"/>
          <w:i w:val="0"/>
          <w:iCs/>
          <w:color w:val="231F20"/>
        </w:rPr>
        <w:t xml:space="preserve">Adapt these statements for your ministry—and review the answers at least annually. </w:t>
      </w:r>
      <w:r w:rsidR="00195581">
        <w:rPr>
          <w:rFonts w:ascii="Helvetica" w:hAnsi="Helvetica"/>
          <w:i w:val="0"/>
          <w:iCs/>
          <w:color w:val="231F20"/>
        </w:rPr>
        <w:br/>
      </w:r>
    </w:p>
    <w:tbl>
      <w:tblPr>
        <w:tblW w:w="9927" w:type="dxa"/>
        <w:tblInd w:w="55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4699"/>
        <w:gridCol w:w="959"/>
        <w:gridCol w:w="4269"/>
      </w:tblGrid>
      <w:tr w:rsidR="0016526D" w:rsidRPr="00451427" w14:paraId="5A9A3E08" w14:textId="77777777" w:rsidTr="00195581">
        <w:trPr>
          <w:trHeight w:val="735"/>
        </w:trPr>
        <w:tc>
          <w:tcPr>
            <w:tcW w:w="4699" w:type="dxa"/>
            <w:shd w:val="clear" w:color="auto" w:fill="EBEBEC"/>
          </w:tcPr>
          <w:p w14:paraId="1B2FB6EF" w14:textId="77777777" w:rsidR="0016526D" w:rsidRPr="00451427" w:rsidRDefault="0016526D" w:rsidP="004B4DEF">
            <w:pPr>
              <w:pStyle w:val="TableParagraph"/>
              <w:spacing w:before="1"/>
              <w:rPr>
                <w:rFonts w:ascii="Helvetica" w:hAnsi="Helvetica"/>
                <w:sz w:val="25"/>
              </w:rPr>
            </w:pPr>
          </w:p>
          <w:p w14:paraId="1089C140" w14:textId="77777777" w:rsidR="0016526D" w:rsidRPr="00451427" w:rsidRDefault="0016526D" w:rsidP="004B4DEF">
            <w:pPr>
              <w:pStyle w:val="TableParagraph"/>
              <w:ind w:left="378"/>
              <w:rPr>
                <w:rFonts w:ascii="Helvetica" w:hAnsi="Helvetica"/>
                <w:b/>
              </w:rPr>
            </w:pPr>
            <w:r w:rsidRPr="00451427">
              <w:rPr>
                <w:rFonts w:ascii="Helvetica" w:hAnsi="Helvetica"/>
                <w:b/>
                <w:color w:val="231F20"/>
              </w:rPr>
              <w:t>The Board’s Annual Fundraising Audit</w:t>
            </w:r>
          </w:p>
        </w:tc>
        <w:tc>
          <w:tcPr>
            <w:tcW w:w="959" w:type="dxa"/>
            <w:shd w:val="clear" w:color="auto" w:fill="EBEBEC"/>
          </w:tcPr>
          <w:p w14:paraId="0FC7603C" w14:textId="77777777" w:rsidR="0016526D" w:rsidRPr="00451427" w:rsidRDefault="0016526D" w:rsidP="004B4DEF">
            <w:pPr>
              <w:pStyle w:val="TableParagraph"/>
              <w:spacing w:before="174" w:line="228" w:lineRule="auto"/>
              <w:ind w:left="229" w:firstLine="16"/>
              <w:rPr>
                <w:rFonts w:ascii="Helvetica" w:hAnsi="Helvetica"/>
                <w:b/>
                <w:sz w:val="20"/>
              </w:rPr>
            </w:pPr>
            <w:r w:rsidRPr="00451427">
              <w:rPr>
                <w:rFonts w:ascii="Helvetica" w:hAnsi="Helvetica"/>
                <w:b/>
                <w:color w:val="231F20"/>
                <w:sz w:val="20"/>
              </w:rPr>
              <w:t>True/ False</w:t>
            </w:r>
          </w:p>
        </w:tc>
        <w:tc>
          <w:tcPr>
            <w:tcW w:w="4269" w:type="dxa"/>
            <w:tcBorders>
              <w:right w:val="single" w:sz="8" w:space="0" w:color="231F20"/>
            </w:tcBorders>
            <w:shd w:val="clear" w:color="auto" w:fill="EBEBEC"/>
          </w:tcPr>
          <w:p w14:paraId="6EC3A92C" w14:textId="77777777" w:rsidR="0016526D" w:rsidRPr="00451427" w:rsidRDefault="0016526D" w:rsidP="004B4DEF">
            <w:pPr>
              <w:pStyle w:val="TableParagraph"/>
              <w:spacing w:before="2"/>
              <w:rPr>
                <w:rFonts w:ascii="Helvetica" w:hAnsi="Helvetica"/>
                <w:sz w:val="26"/>
              </w:rPr>
            </w:pPr>
          </w:p>
          <w:p w14:paraId="633DF2D8" w14:textId="77777777" w:rsidR="0016526D" w:rsidRPr="00451427" w:rsidRDefault="0016526D" w:rsidP="004B4DEF">
            <w:pPr>
              <w:pStyle w:val="TableParagraph"/>
              <w:ind w:left="838"/>
              <w:rPr>
                <w:rFonts w:ascii="Helvetica" w:hAnsi="Helvetica"/>
                <w:b/>
                <w:sz w:val="20"/>
              </w:rPr>
            </w:pPr>
            <w:r w:rsidRPr="00451427">
              <w:rPr>
                <w:rFonts w:ascii="Helvetica" w:hAnsi="Helvetica"/>
                <w:b/>
                <w:color w:val="231F20"/>
                <w:sz w:val="20"/>
              </w:rPr>
              <w:t>How does the board know?</w:t>
            </w:r>
          </w:p>
        </w:tc>
      </w:tr>
      <w:tr w:rsidR="0016526D" w:rsidRPr="00451427" w14:paraId="73BE6F86" w14:textId="77777777" w:rsidTr="00195581">
        <w:trPr>
          <w:trHeight w:val="1728"/>
        </w:trPr>
        <w:tc>
          <w:tcPr>
            <w:tcW w:w="4699" w:type="dxa"/>
            <w:vAlign w:val="center"/>
          </w:tcPr>
          <w:p w14:paraId="6A4A9285" w14:textId="77777777" w:rsidR="0016526D" w:rsidRPr="00451427" w:rsidRDefault="0016526D" w:rsidP="00451427">
            <w:pPr>
              <w:pStyle w:val="TableParagraph"/>
              <w:spacing w:before="80" w:after="80"/>
              <w:ind w:left="461" w:right="151" w:hanging="311"/>
              <w:rPr>
                <w:rFonts w:ascii="Helvetica" w:hAnsi="Helvetica"/>
              </w:rPr>
            </w:pPr>
            <w:r w:rsidRPr="00451427">
              <w:rPr>
                <w:rFonts w:ascii="Helvetica" w:hAnsi="Helvetica"/>
                <w:color w:val="231F20"/>
              </w:rPr>
              <w:t>1. The board knows if in securing charitable gifts, all representations of fact, descriptions of the financial condition</w:t>
            </w:r>
          </w:p>
          <w:p w14:paraId="49E3DB72" w14:textId="77777777" w:rsidR="0016526D" w:rsidRPr="00451427" w:rsidRDefault="0016526D" w:rsidP="00451427">
            <w:pPr>
              <w:pStyle w:val="TableParagraph"/>
              <w:spacing w:before="80" w:after="80"/>
              <w:ind w:left="461" w:right="151"/>
              <w:rPr>
                <w:rFonts w:ascii="Helvetica" w:hAnsi="Helvetica"/>
              </w:rPr>
            </w:pPr>
            <w:r w:rsidRPr="00451427">
              <w:rPr>
                <w:rFonts w:ascii="Helvetica" w:hAnsi="Helvetica"/>
                <w:color w:val="231F20"/>
              </w:rPr>
              <w:t>of the organization, or narratives about events are current, complete and accurate.</w:t>
            </w:r>
          </w:p>
        </w:tc>
        <w:tc>
          <w:tcPr>
            <w:tcW w:w="959" w:type="dxa"/>
          </w:tcPr>
          <w:p w14:paraId="45668A2B" w14:textId="77777777" w:rsidR="0016526D" w:rsidRPr="00451427" w:rsidRDefault="0016526D" w:rsidP="004B4DEF">
            <w:pPr>
              <w:pStyle w:val="TableParagraph"/>
              <w:rPr>
                <w:rFonts w:ascii="Helvetica" w:hAnsi="Helvetica"/>
                <w:sz w:val="20"/>
              </w:rPr>
            </w:pPr>
          </w:p>
        </w:tc>
        <w:tc>
          <w:tcPr>
            <w:tcW w:w="4269" w:type="dxa"/>
            <w:tcBorders>
              <w:right w:val="single" w:sz="8" w:space="0" w:color="231F20"/>
            </w:tcBorders>
          </w:tcPr>
          <w:p w14:paraId="09CF60BA" w14:textId="77777777" w:rsidR="0016526D" w:rsidRPr="00451427" w:rsidRDefault="0016526D" w:rsidP="004B4DEF">
            <w:pPr>
              <w:pStyle w:val="TableParagraph"/>
              <w:rPr>
                <w:rFonts w:ascii="Helvetica" w:hAnsi="Helvetica"/>
                <w:sz w:val="20"/>
              </w:rPr>
            </w:pPr>
          </w:p>
        </w:tc>
      </w:tr>
      <w:tr w:rsidR="0016526D" w:rsidRPr="00451427" w14:paraId="7D5BCEE9" w14:textId="77777777" w:rsidTr="00195581">
        <w:trPr>
          <w:trHeight w:val="919"/>
        </w:trPr>
        <w:tc>
          <w:tcPr>
            <w:tcW w:w="4699" w:type="dxa"/>
            <w:vAlign w:val="center"/>
          </w:tcPr>
          <w:p w14:paraId="6BC94B1B" w14:textId="77777777" w:rsidR="0016526D" w:rsidRPr="00451427" w:rsidRDefault="0016526D" w:rsidP="00451427">
            <w:pPr>
              <w:pStyle w:val="TableParagraph"/>
              <w:spacing w:before="80" w:after="80"/>
              <w:ind w:left="461" w:hanging="311"/>
              <w:rPr>
                <w:rFonts w:ascii="Helvetica" w:hAnsi="Helvetica"/>
              </w:rPr>
            </w:pPr>
            <w:r w:rsidRPr="00451427">
              <w:rPr>
                <w:rFonts w:ascii="Helvetica" w:hAnsi="Helvetica"/>
                <w:color w:val="231F20"/>
              </w:rPr>
              <w:t>2. The board understands the ministry’s fundraising program relating to raising restricted donations.</w:t>
            </w:r>
          </w:p>
        </w:tc>
        <w:tc>
          <w:tcPr>
            <w:tcW w:w="959" w:type="dxa"/>
          </w:tcPr>
          <w:p w14:paraId="24534C83" w14:textId="77777777" w:rsidR="0016526D" w:rsidRPr="00451427" w:rsidRDefault="0016526D" w:rsidP="004B4DEF">
            <w:pPr>
              <w:pStyle w:val="TableParagraph"/>
              <w:rPr>
                <w:rFonts w:ascii="Helvetica" w:hAnsi="Helvetica"/>
                <w:sz w:val="20"/>
              </w:rPr>
            </w:pPr>
          </w:p>
        </w:tc>
        <w:tc>
          <w:tcPr>
            <w:tcW w:w="4269" w:type="dxa"/>
            <w:tcBorders>
              <w:right w:val="single" w:sz="8" w:space="0" w:color="231F20"/>
            </w:tcBorders>
          </w:tcPr>
          <w:p w14:paraId="2AAB0140" w14:textId="77777777" w:rsidR="0016526D" w:rsidRPr="00451427" w:rsidRDefault="0016526D" w:rsidP="004B4DEF">
            <w:pPr>
              <w:pStyle w:val="TableParagraph"/>
              <w:rPr>
                <w:rFonts w:ascii="Helvetica" w:hAnsi="Helvetica"/>
                <w:sz w:val="20"/>
              </w:rPr>
            </w:pPr>
          </w:p>
        </w:tc>
      </w:tr>
      <w:tr w:rsidR="0016526D" w:rsidRPr="00451427" w14:paraId="15C27B6D" w14:textId="77777777" w:rsidTr="00195581">
        <w:trPr>
          <w:trHeight w:val="1231"/>
        </w:trPr>
        <w:tc>
          <w:tcPr>
            <w:tcW w:w="4699" w:type="dxa"/>
            <w:vAlign w:val="center"/>
          </w:tcPr>
          <w:p w14:paraId="461DB89B" w14:textId="77777777" w:rsidR="0016526D" w:rsidRPr="00451427" w:rsidRDefault="0016526D" w:rsidP="00451427">
            <w:pPr>
              <w:pStyle w:val="TableParagraph"/>
              <w:spacing w:before="80" w:after="80"/>
              <w:ind w:left="461" w:right="447" w:hanging="311"/>
              <w:rPr>
                <w:rFonts w:ascii="Helvetica" w:hAnsi="Helvetica"/>
              </w:rPr>
            </w:pPr>
            <w:r w:rsidRPr="00451427">
              <w:rPr>
                <w:rFonts w:ascii="Helvetica" w:hAnsi="Helvetica"/>
                <w:color w:val="231F20"/>
              </w:rPr>
              <w:t>3. The board knows if statements made about the use of gifts by the ministry in its charitable gift appeals are always honored.</w:t>
            </w:r>
          </w:p>
        </w:tc>
        <w:tc>
          <w:tcPr>
            <w:tcW w:w="959" w:type="dxa"/>
          </w:tcPr>
          <w:p w14:paraId="7D3FE4CD" w14:textId="77777777" w:rsidR="0016526D" w:rsidRPr="00451427" w:rsidRDefault="0016526D" w:rsidP="004B4DEF">
            <w:pPr>
              <w:pStyle w:val="TableParagraph"/>
              <w:rPr>
                <w:rFonts w:ascii="Helvetica" w:hAnsi="Helvetica"/>
                <w:sz w:val="20"/>
              </w:rPr>
            </w:pPr>
          </w:p>
        </w:tc>
        <w:tc>
          <w:tcPr>
            <w:tcW w:w="4269" w:type="dxa"/>
            <w:tcBorders>
              <w:right w:val="single" w:sz="8" w:space="0" w:color="231F20"/>
            </w:tcBorders>
          </w:tcPr>
          <w:p w14:paraId="17398C27" w14:textId="77777777" w:rsidR="0016526D" w:rsidRPr="00451427" w:rsidRDefault="0016526D" w:rsidP="004B4DEF">
            <w:pPr>
              <w:pStyle w:val="TableParagraph"/>
              <w:rPr>
                <w:rFonts w:ascii="Helvetica" w:hAnsi="Helvetica"/>
                <w:sz w:val="20"/>
              </w:rPr>
            </w:pPr>
          </w:p>
        </w:tc>
      </w:tr>
      <w:tr w:rsidR="0016526D" w:rsidRPr="00451427" w14:paraId="30BC68D2" w14:textId="77777777" w:rsidTr="00195581">
        <w:trPr>
          <w:trHeight w:val="1477"/>
        </w:trPr>
        <w:tc>
          <w:tcPr>
            <w:tcW w:w="4699" w:type="dxa"/>
            <w:vAlign w:val="center"/>
          </w:tcPr>
          <w:p w14:paraId="6105D478" w14:textId="77777777" w:rsidR="0016526D" w:rsidRPr="00451427" w:rsidRDefault="0016526D" w:rsidP="00451427">
            <w:pPr>
              <w:pStyle w:val="TableParagraph"/>
              <w:spacing w:before="80" w:after="80"/>
              <w:ind w:left="461" w:right="151" w:hanging="311"/>
              <w:rPr>
                <w:rFonts w:ascii="Helvetica" w:hAnsi="Helvetica"/>
              </w:rPr>
            </w:pPr>
            <w:r w:rsidRPr="00451427">
              <w:rPr>
                <w:rFonts w:ascii="Helvetica" w:hAnsi="Helvetica"/>
                <w:color w:val="231F20"/>
              </w:rPr>
              <w:t>4. The board is aware of communication being shared with givers concerning the potential of over-funding or under-funding of projects for which funds are being raised.</w:t>
            </w:r>
          </w:p>
        </w:tc>
        <w:tc>
          <w:tcPr>
            <w:tcW w:w="959" w:type="dxa"/>
          </w:tcPr>
          <w:p w14:paraId="37B4F18F" w14:textId="77777777" w:rsidR="0016526D" w:rsidRPr="00451427" w:rsidRDefault="0016526D" w:rsidP="004B4DEF">
            <w:pPr>
              <w:pStyle w:val="TableParagraph"/>
              <w:rPr>
                <w:rFonts w:ascii="Helvetica" w:hAnsi="Helvetica"/>
                <w:sz w:val="20"/>
              </w:rPr>
            </w:pPr>
          </w:p>
        </w:tc>
        <w:tc>
          <w:tcPr>
            <w:tcW w:w="4269" w:type="dxa"/>
            <w:tcBorders>
              <w:right w:val="single" w:sz="8" w:space="0" w:color="231F20"/>
            </w:tcBorders>
          </w:tcPr>
          <w:p w14:paraId="33A3DF5B" w14:textId="77777777" w:rsidR="0016526D" w:rsidRPr="00451427" w:rsidRDefault="0016526D" w:rsidP="004B4DEF">
            <w:pPr>
              <w:pStyle w:val="TableParagraph"/>
              <w:rPr>
                <w:rFonts w:ascii="Helvetica" w:hAnsi="Helvetica"/>
                <w:sz w:val="20"/>
              </w:rPr>
            </w:pPr>
          </w:p>
        </w:tc>
      </w:tr>
      <w:tr w:rsidR="0016526D" w:rsidRPr="00451427" w14:paraId="47EB25D3" w14:textId="77777777" w:rsidTr="00195581">
        <w:trPr>
          <w:trHeight w:val="1012"/>
        </w:trPr>
        <w:tc>
          <w:tcPr>
            <w:tcW w:w="4699" w:type="dxa"/>
            <w:vAlign w:val="center"/>
          </w:tcPr>
          <w:p w14:paraId="470E140F" w14:textId="77777777" w:rsidR="0016526D" w:rsidRPr="00451427" w:rsidRDefault="0016526D" w:rsidP="00451427">
            <w:pPr>
              <w:pStyle w:val="TableParagraph"/>
              <w:spacing w:before="80" w:after="80"/>
              <w:ind w:left="461" w:right="170" w:hanging="311"/>
              <w:rPr>
                <w:rFonts w:ascii="Helvetica" w:hAnsi="Helvetica"/>
              </w:rPr>
            </w:pPr>
            <w:r w:rsidRPr="00451427">
              <w:rPr>
                <w:rFonts w:ascii="Helvetica" w:hAnsi="Helvetica"/>
                <w:color w:val="231F20"/>
              </w:rPr>
              <w:t>5. If the ministry is raising funds using a matching gift approach, the board knows if the initial matching funds were “at risk.”</w:t>
            </w:r>
          </w:p>
        </w:tc>
        <w:tc>
          <w:tcPr>
            <w:tcW w:w="959" w:type="dxa"/>
          </w:tcPr>
          <w:p w14:paraId="02246024" w14:textId="77777777" w:rsidR="0016526D" w:rsidRPr="00451427" w:rsidRDefault="0016526D" w:rsidP="004B4DEF">
            <w:pPr>
              <w:pStyle w:val="TableParagraph"/>
              <w:rPr>
                <w:rFonts w:ascii="Helvetica" w:hAnsi="Helvetica"/>
                <w:sz w:val="20"/>
              </w:rPr>
            </w:pPr>
          </w:p>
        </w:tc>
        <w:tc>
          <w:tcPr>
            <w:tcW w:w="4269" w:type="dxa"/>
            <w:tcBorders>
              <w:right w:val="single" w:sz="8" w:space="0" w:color="231F20"/>
            </w:tcBorders>
          </w:tcPr>
          <w:p w14:paraId="4888ECA4" w14:textId="77777777" w:rsidR="0016526D" w:rsidRPr="00451427" w:rsidRDefault="0016526D" w:rsidP="004B4DEF">
            <w:pPr>
              <w:pStyle w:val="TableParagraph"/>
              <w:rPr>
                <w:rFonts w:ascii="Helvetica" w:hAnsi="Helvetica"/>
                <w:sz w:val="20"/>
              </w:rPr>
            </w:pPr>
          </w:p>
        </w:tc>
      </w:tr>
    </w:tbl>
    <w:p w14:paraId="2316DCC1" w14:textId="77777777" w:rsidR="00A453B6" w:rsidRPr="00451427" w:rsidRDefault="00A453B6">
      <w:pPr>
        <w:spacing w:before="3"/>
        <w:rPr>
          <w:rFonts w:ascii="Helvetica" w:hAnsi="Helvetica"/>
          <w:sz w:val="24"/>
        </w:rPr>
      </w:pPr>
    </w:p>
    <w:p w14:paraId="3F1FAE6E" w14:textId="77777777" w:rsidR="0016526D" w:rsidRPr="00451427" w:rsidRDefault="0016526D">
      <w:pPr>
        <w:rPr>
          <w:rFonts w:ascii="Helvetica" w:hAnsi="Helvetica"/>
          <w:sz w:val="20"/>
          <w:szCs w:val="20"/>
        </w:rPr>
      </w:pPr>
      <w:r w:rsidRPr="00451427">
        <w:rPr>
          <w:rFonts w:ascii="Helvetica" w:hAnsi="Helvetica"/>
          <w:i/>
        </w:rPr>
        <w:br w:type="page"/>
      </w:r>
    </w:p>
    <w:tbl>
      <w:tblPr>
        <w:tblW w:w="0" w:type="auto"/>
        <w:tblInd w:w="55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4699"/>
        <w:gridCol w:w="959"/>
        <w:gridCol w:w="4269"/>
      </w:tblGrid>
      <w:tr w:rsidR="0016526D" w:rsidRPr="00451427" w14:paraId="617661D0" w14:textId="77777777" w:rsidTr="004B4DEF">
        <w:trPr>
          <w:trHeight w:val="803"/>
        </w:trPr>
        <w:tc>
          <w:tcPr>
            <w:tcW w:w="4699" w:type="dxa"/>
            <w:shd w:val="clear" w:color="auto" w:fill="EBEBEC"/>
          </w:tcPr>
          <w:p w14:paraId="3D739564" w14:textId="77777777" w:rsidR="0016526D" w:rsidRPr="00451427" w:rsidRDefault="0016526D" w:rsidP="004B4DEF">
            <w:pPr>
              <w:pStyle w:val="TableParagraph"/>
              <w:spacing w:before="6"/>
              <w:rPr>
                <w:rFonts w:ascii="Helvetica" w:hAnsi="Helvetica"/>
                <w:sz w:val="28"/>
              </w:rPr>
            </w:pPr>
          </w:p>
          <w:p w14:paraId="1636F898" w14:textId="77777777" w:rsidR="0016526D" w:rsidRPr="00451427" w:rsidRDefault="0016526D" w:rsidP="004B4DEF">
            <w:pPr>
              <w:pStyle w:val="TableParagraph"/>
              <w:ind w:left="378"/>
              <w:rPr>
                <w:rFonts w:ascii="Helvetica" w:hAnsi="Helvetica"/>
                <w:b/>
              </w:rPr>
            </w:pPr>
            <w:r w:rsidRPr="00451427">
              <w:rPr>
                <w:rFonts w:ascii="Helvetica" w:hAnsi="Helvetica"/>
                <w:b/>
                <w:color w:val="231F20"/>
              </w:rPr>
              <w:t>The Board’s Annual Fundraising Audit</w:t>
            </w:r>
          </w:p>
        </w:tc>
        <w:tc>
          <w:tcPr>
            <w:tcW w:w="959" w:type="dxa"/>
            <w:shd w:val="clear" w:color="auto" w:fill="EBEBEC"/>
          </w:tcPr>
          <w:p w14:paraId="55EB9BD6" w14:textId="77777777" w:rsidR="0016526D" w:rsidRPr="00451427" w:rsidRDefault="0016526D" w:rsidP="004B4DEF">
            <w:pPr>
              <w:pStyle w:val="TableParagraph"/>
              <w:spacing w:before="208" w:line="228" w:lineRule="auto"/>
              <w:ind w:left="229" w:firstLine="16"/>
              <w:rPr>
                <w:rFonts w:ascii="Helvetica" w:hAnsi="Helvetica"/>
                <w:b/>
                <w:sz w:val="20"/>
              </w:rPr>
            </w:pPr>
            <w:r w:rsidRPr="00451427">
              <w:rPr>
                <w:rFonts w:ascii="Helvetica" w:hAnsi="Helvetica"/>
                <w:b/>
                <w:color w:val="231F20"/>
                <w:sz w:val="20"/>
              </w:rPr>
              <w:t>True/ False</w:t>
            </w:r>
          </w:p>
        </w:tc>
        <w:tc>
          <w:tcPr>
            <w:tcW w:w="4269" w:type="dxa"/>
            <w:tcBorders>
              <w:right w:val="single" w:sz="8" w:space="0" w:color="231F20"/>
            </w:tcBorders>
            <w:shd w:val="clear" w:color="auto" w:fill="EBEBEC"/>
          </w:tcPr>
          <w:p w14:paraId="4AC6388F" w14:textId="77777777" w:rsidR="0016526D" w:rsidRPr="00451427" w:rsidRDefault="0016526D" w:rsidP="004B4DEF">
            <w:pPr>
              <w:pStyle w:val="TableParagraph"/>
              <w:spacing w:before="7"/>
              <w:rPr>
                <w:rFonts w:ascii="Helvetica" w:hAnsi="Helvetica"/>
                <w:sz w:val="29"/>
              </w:rPr>
            </w:pPr>
          </w:p>
          <w:p w14:paraId="31749B4B" w14:textId="77777777" w:rsidR="0016526D" w:rsidRPr="00451427" w:rsidRDefault="0016526D" w:rsidP="004B4DEF">
            <w:pPr>
              <w:pStyle w:val="TableParagraph"/>
              <w:ind w:left="838"/>
              <w:rPr>
                <w:rFonts w:ascii="Helvetica" w:hAnsi="Helvetica"/>
                <w:b/>
                <w:sz w:val="20"/>
              </w:rPr>
            </w:pPr>
            <w:r w:rsidRPr="00451427">
              <w:rPr>
                <w:rFonts w:ascii="Helvetica" w:hAnsi="Helvetica"/>
                <w:b/>
                <w:color w:val="231F20"/>
                <w:sz w:val="20"/>
              </w:rPr>
              <w:t>How does the board know?</w:t>
            </w:r>
          </w:p>
        </w:tc>
      </w:tr>
      <w:tr w:rsidR="0016526D" w:rsidRPr="00451427" w14:paraId="39008CA0" w14:textId="77777777" w:rsidTr="00451427">
        <w:trPr>
          <w:trHeight w:val="1005"/>
        </w:trPr>
        <w:tc>
          <w:tcPr>
            <w:tcW w:w="4699" w:type="dxa"/>
            <w:vAlign w:val="center"/>
          </w:tcPr>
          <w:p w14:paraId="1593530A" w14:textId="77777777" w:rsidR="0016526D" w:rsidRPr="00451427" w:rsidRDefault="0016526D" w:rsidP="00451427">
            <w:pPr>
              <w:pStyle w:val="TableParagraph"/>
              <w:spacing w:before="80" w:after="80"/>
              <w:ind w:left="457" w:right="80" w:hanging="311"/>
              <w:rPr>
                <w:rFonts w:ascii="Helvetica" w:hAnsi="Helvetica"/>
              </w:rPr>
            </w:pPr>
            <w:r w:rsidRPr="00451427">
              <w:rPr>
                <w:rFonts w:ascii="Helvetica" w:hAnsi="Helvetica"/>
                <w:color w:val="231F20"/>
              </w:rPr>
              <w:t>6. The board knows if staff or external fundraisers are being compensated on the basis of a percentage of funds raised.</w:t>
            </w:r>
          </w:p>
        </w:tc>
        <w:tc>
          <w:tcPr>
            <w:tcW w:w="959" w:type="dxa"/>
          </w:tcPr>
          <w:p w14:paraId="4FE55E61" w14:textId="77777777" w:rsidR="0016526D" w:rsidRPr="00451427" w:rsidRDefault="0016526D" w:rsidP="004B4DEF">
            <w:pPr>
              <w:pStyle w:val="TableParagraph"/>
              <w:rPr>
                <w:rFonts w:ascii="Helvetica" w:hAnsi="Helvetica"/>
                <w:sz w:val="18"/>
              </w:rPr>
            </w:pPr>
          </w:p>
        </w:tc>
        <w:tc>
          <w:tcPr>
            <w:tcW w:w="4269" w:type="dxa"/>
            <w:tcBorders>
              <w:right w:val="single" w:sz="8" w:space="0" w:color="231F20"/>
            </w:tcBorders>
          </w:tcPr>
          <w:p w14:paraId="2D628E79" w14:textId="77777777" w:rsidR="0016526D" w:rsidRPr="00451427" w:rsidRDefault="0016526D" w:rsidP="004B4DEF">
            <w:pPr>
              <w:pStyle w:val="TableParagraph"/>
              <w:rPr>
                <w:rFonts w:ascii="Helvetica" w:hAnsi="Helvetica"/>
                <w:sz w:val="18"/>
              </w:rPr>
            </w:pPr>
          </w:p>
        </w:tc>
      </w:tr>
      <w:tr w:rsidR="0016526D" w:rsidRPr="00451427" w14:paraId="5A9A5DC8" w14:textId="77777777" w:rsidTr="00451427">
        <w:trPr>
          <w:trHeight w:val="1005"/>
        </w:trPr>
        <w:tc>
          <w:tcPr>
            <w:tcW w:w="4699" w:type="dxa"/>
            <w:vAlign w:val="center"/>
          </w:tcPr>
          <w:p w14:paraId="651FB9B4" w14:textId="77777777" w:rsidR="0016526D" w:rsidRPr="00451427" w:rsidRDefault="0016526D" w:rsidP="00451427">
            <w:pPr>
              <w:pStyle w:val="TableParagraph"/>
              <w:spacing w:before="80" w:after="80"/>
              <w:ind w:left="457" w:hanging="311"/>
              <w:rPr>
                <w:rFonts w:ascii="Helvetica" w:hAnsi="Helvetica"/>
              </w:rPr>
            </w:pPr>
            <w:r w:rsidRPr="00451427">
              <w:rPr>
                <w:rFonts w:ascii="Helvetica" w:hAnsi="Helvetica"/>
                <w:color w:val="231F20"/>
              </w:rPr>
              <w:t>7. The board knows if the ministry always provides givers appropriate and timely charitable gift acknowledgments.</w:t>
            </w:r>
          </w:p>
        </w:tc>
        <w:tc>
          <w:tcPr>
            <w:tcW w:w="959" w:type="dxa"/>
          </w:tcPr>
          <w:p w14:paraId="0D241798" w14:textId="77777777" w:rsidR="0016526D" w:rsidRPr="00451427" w:rsidRDefault="0016526D" w:rsidP="004B4DEF">
            <w:pPr>
              <w:pStyle w:val="TableParagraph"/>
              <w:rPr>
                <w:rFonts w:ascii="Helvetica" w:hAnsi="Helvetica"/>
                <w:sz w:val="18"/>
              </w:rPr>
            </w:pPr>
          </w:p>
        </w:tc>
        <w:tc>
          <w:tcPr>
            <w:tcW w:w="4269" w:type="dxa"/>
            <w:tcBorders>
              <w:right w:val="single" w:sz="8" w:space="0" w:color="231F20"/>
            </w:tcBorders>
          </w:tcPr>
          <w:p w14:paraId="3CA9D698" w14:textId="77777777" w:rsidR="0016526D" w:rsidRPr="00451427" w:rsidRDefault="0016526D" w:rsidP="004B4DEF">
            <w:pPr>
              <w:pStyle w:val="TableParagraph"/>
              <w:rPr>
                <w:rFonts w:ascii="Helvetica" w:hAnsi="Helvetica"/>
                <w:sz w:val="18"/>
              </w:rPr>
            </w:pPr>
          </w:p>
        </w:tc>
      </w:tr>
      <w:tr w:rsidR="0016526D" w:rsidRPr="00451427" w14:paraId="154CA5AD" w14:textId="77777777" w:rsidTr="00451427">
        <w:trPr>
          <w:trHeight w:val="1620"/>
        </w:trPr>
        <w:tc>
          <w:tcPr>
            <w:tcW w:w="4699" w:type="dxa"/>
            <w:vAlign w:val="center"/>
          </w:tcPr>
          <w:p w14:paraId="6F0CB651" w14:textId="77777777" w:rsidR="0016526D" w:rsidRPr="00451427" w:rsidRDefault="0016526D" w:rsidP="00451427">
            <w:pPr>
              <w:pStyle w:val="TableParagraph"/>
              <w:spacing w:before="80" w:after="80"/>
              <w:ind w:left="457" w:right="151" w:hanging="311"/>
              <w:rPr>
                <w:rFonts w:ascii="Helvetica" w:hAnsi="Helvetica"/>
              </w:rPr>
            </w:pPr>
            <w:r w:rsidRPr="00451427">
              <w:rPr>
                <w:rFonts w:ascii="Helvetica" w:hAnsi="Helvetica"/>
                <w:color w:val="231F20"/>
              </w:rPr>
              <w:t>8. The board knows if the ministry is providing a report, upon written request, including financial information on any specific project for which it has sought or is seeking gifts.</w:t>
            </w:r>
          </w:p>
        </w:tc>
        <w:tc>
          <w:tcPr>
            <w:tcW w:w="959" w:type="dxa"/>
          </w:tcPr>
          <w:p w14:paraId="55BB3A82" w14:textId="77777777" w:rsidR="0016526D" w:rsidRPr="00451427" w:rsidRDefault="0016526D" w:rsidP="004B4DEF">
            <w:pPr>
              <w:pStyle w:val="TableParagraph"/>
              <w:rPr>
                <w:rFonts w:ascii="Helvetica" w:hAnsi="Helvetica"/>
                <w:sz w:val="18"/>
              </w:rPr>
            </w:pPr>
          </w:p>
        </w:tc>
        <w:tc>
          <w:tcPr>
            <w:tcW w:w="4269" w:type="dxa"/>
            <w:tcBorders>
              <w:right w:val="single" w:sz="8" w:space="0" w:color="231F20"/>
            </w:tcBorders>
          </w:tcPr>
          <w:p w14:paraId="0AC07B73" w14:textId="77777777" w:rsidR="0016526D" w:rsidRPr="00451427" w:rsidRDefault="0016526D" w:rsidP="004B4DEF">
            <w:pPr>
              <w:pStyle w:val="TableParagraph"/>
              <w:rPr>
                <w:rFonts w:ascii="Helvetica" w:hAnsi="Helvetica"/>
                <w:sz w:val="18"/>
              </w:rPr>
            </w:pPr>
          </w:p>
        </w:tc>
      </w:tr>
      <w:tr w:rsidR="0016526D" w:rsidRPr="00451427" w14:paraId="6860F24B" w14:textId="77777777" w:rsidTr="00451427">
        <w:trPr>
          <w:trHeight w:val="1005"/>
        </w:trPr>
        <w:tc>
          <w:tcPr>
            <w:tcW w:w="4699" w:type="dxa"/>
            <w:vAlign w:val="center"/>
          </w:tcPr>
          <w:p w14:paraId="387C887C" w14:textId="77777777" w:rsidR="0016526D" w:rsidRPr="00451427" w:rsidRDefault="0016526D" w:rsidP="00451427">
            <w:pPr>
              <w:pStyle w:val="TableParagraph"/>
              <w:spacing w:before="80" w:after="80"/>
              <w:ind w:left="397" w:hanging="311"/>
              <w:rPr>
                <w:rFonts w:ascii="Helvetica" w:hAnsi="Helvetica"/>
              </w:rPr>
            </w:pPr>
            <w:r w:rsidRPr="00451427">
              <w:rPr>
                <w:rFonts w:ascii="Helvetica" w:hAnsi="Helvetica"/>
                <w:color w:val="231F20"/>
              </w:rPr>
              <w:t>9. The board is compiling, analyzing, and leveraging giving data to serve and support its giving base.</w:t>
            </w:r>
          </w:p>
        </w:tc>
        <w:tc>
          <w:tcPr>
            <w:tcW w:w="959" w:type="dxa"/>
          </w:tcPr>
          <w:p w14:paraId="1C8CBE16" w14:textId="77777777" w:rsidR="0016526D" w:rsidRPr="00451427" w:rsidRDefault="0016526D" w:rsidP="004B4DEF">
            <w:pPr>
              <w:pStyle w:val="TableParagraph"/>
              <w:rPr>
                <w:rFonts w:ascii="Helvetica" w:hAnsi="Helvetica"/>
                <w:sz w:val="18"/>
              </w:rPr>
            </w:pPr>
          </w:p>
        </w:tc>
        <w:tc>
          <w:tcPr>
            <w:tcW w:w="4269" w:type="dxa"/>
            <w:tcBorders>
              <w:right w:val="single" w:sz="8" w:space="0" w:color="231F20"/>
            </w:tcBorders>
          </w:tcPr>
          <w:p w14:paraId="5E651EF1" w14:textId="77777777" w:rsidR="0016526D" w:rsidRPr="00451427" w:rsidRDefault="0016526D" w:rsidP="004B4DEF">
            <w:pPr>
              <w:pStyle w:val="TableParagraph"/>
              <w:rPr>
                <w:rFonts w:ascii="Helvetica" w:hAnsi="Helvetica"/>
                <w:sz w:val="18"/>
              </w:rPr>
            </w:pPr>
          </w:p>
        </w:tc>
      </w:tr>
      <w:tr w:rsidR="0016526D" w:rsidRPr="00451427" w14:paraId="4847014A" w14:textId="77777777" w:rsidTr="00451427">
        <w:trPr>
          <w:trHeight w:val="1212"/>
        </w:trPr>
        <w:tc>
          <w:tcPr>
            <w:tcW w:w="4699" w:type="dxa"/>
            <w:vAlign w:val="center"/>
          </w:tcPr>
          <w:p w14:paraId="6A3C12EA" w14:textId="77777777" w:rsidR="0016526D" w:rsidRPr="00451427" w:rsidRDefault="0016526D" w:rsidP="00451427">
            <w:pPr>
              <w:pStyle w:val="TableParagraph"/>
              <w:spacing w:before="80" w:after="80"/>
              <w:ind w:left="397" w:right="95" w:hanging="368"/>
              <w:rPr>
                <w:rFonts w:ascii="Helvetica" w:hAnsi="Helvetica"/>
              </w:rPr>
            </w:pPr>
            <w:r w:rsidRPr="00451427">
              <w:rPr>
                <w:rFonts w:ascii="Helvetica" w:hAnsi="Helvetica"/>
                <w:color w:val="231F20"/>
              </w:rPr>
              <w:t>10. The board is aware if the ministry provides a copy of the most recent year-end financial statements to anyone upon request.</w:t>
            </w:r>
          </w:p>
        </w:tc>
        <w:tc>
          <w:tcPr>
            <w:tcW w:w="959" w:type="dxa"/>
          </w:tcPr>
          <w:p w14:paraId="1DAE9BE3" w14:textId="77777777" w:rsidR="0016526D" w:rsidRPr="00451427" w:rsidRDefault="0016526D" w:rsidP="004B4DEF">
            <w:pPr>
              <w:pStyle w:val="TableParagraph"/>
              <w:rPr>
                <w:rFonts w:ascii="Helvetica" w:hAnsi="Helvetica"/>
                <w:sz w:val="18"/>
              </w:rPr>
            </w:pPr>
          </w:p>
        </w:tc>
        <w:tc>
          <w:tcPr>
            <w:tcW w:w="4269" w:type="dxa"/>
            <w:tcBorders>
              <w:right w:val="single" w:sz="8" w:space="0" w:color="231F20"/>
            </w:tcBorders>
          </w:tcPr>
          <w:p w14:paraId="4E9F1720" w14:textId="77777777" w:rsidR="0016526D" w:rsidRPr="00451427" w:rsidRDefault="0016526D" w:rsidP="004B4DEF">
            <w:pPr>
              <w:pStyle w:val="TableParagraph"/>
              <w:rPr>
                <w:rFonts w:ascii="Helvetica" w:hAnsi="Helvetica"/>
                <w:sz w:val="18"/>
              </w:rPr>
            </w:pPr>
          </w:p>
        </w:tc>
      </w:tr>
    </w:tbl>
    <w:p w14:paraId="6709457A" w14:textId="77777777" w:rsidR="00A453B6" w:rsidRPr="00451427" w:rsidRDefault="00A453B6">
      <w:pPr>
        <w:pStyle w:val="BodyText"/>
        <w:spacing w:before="49"/>
        <w:ind w:left="108"/>
        <w:rPr>
          <w:rFonts w:ascii="Helvetica" w:hAnsi="Helvetica"/>
          <w:i w:val="0"/>
        </w:rPr>
      </w:pPr>
    </w:p>
    <w:sectPr w:rsidR="00A453B6" w:rsidRPr="00451427" w:rsidSect="00195581">
      <w:headerReference w:type="default" r:id="rId11"/>
      <w:footerReference w:type="even" r:id="rId12"/>
      <w:footerReference w:type="default" r:id="rId13"/>
      <w:type w:val="continuous"/>
      <w:pgSz w:w="12240" w:h="15840"/>
      <w:pgMar w:top="1240" w:right="1040" w:bottom="596" w:left="960" w:header="689" w:footer="1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4CBAF" w14:textId="77777777" w:rsidR="008F7B26" w:rsidRDefault="008F7B26" w:rsidP="00803582">
      <w:r>
        <w:separator/>
      </w:r>
    </w:p>
  </w:endnote>
  <w:endnote w:type="continuationSeparator" w:id="0">
    <w:p w14:paraId="42683D4A" w14:textId="77777777" w:rsidR="008F7B26" w:rsidRDefault="008F7B26"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LT">
    <w:altName w:val="Arial"/>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Condensed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14:paraId="4D6F9C66" w14:textId="77777777"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CFD15E" w14:textId="77777777" w:rsidR="00210CA5" w:rsidRDefault="0021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B611" w14:textId="729E8608" w:rsidR="004108B3" w:rsidRDefault="004108B3" w:rsidP="004108B3">
    <w:pPr>
      <w:pStyle w:val="Footer"/>
      <w:ind w:right="-110" w:hanging="180"/>
      <w:jc w:val="center"/>
      <w:rPr>
        <w:rFonts w:ascii="Helvetica" w:eastAsiaTheme="minorHAnsi" w:hAnsi="Helvetica" w:cs="Arial"/>
        <w:sz w:val="14"/>
        <w:szCs w:val="14"/>
      </w:rPr>
    </w:pPr>
    <w:r>
      <w:rPr>
        <w:rFonts w:ascii="Helvetica" w:eastAsiaTheme="minorHAnsi" w:hAnsi="Helvetica" w:cs="Arial"/>
        <w:sz w:val="14"/>
        <w:szCs w:val="14"/>
      </w:rPr>
      <w:t>_______________________________________________________________________________________________________________________________________</w:t>
    </w:r>
  </w:p>
  <w:p w14:paraId="4688CBD4" w14:textId="77777777" w:rsidR="00195581" w:rsidRPr="007A6080" w:rsidRDefault="00195581" w:rsidP="00195581">
    <w:pPr>
      <w:pStyle w:val="Footer"/>
      <w:ind w:right="-200" w:hanging="180"/>
      <w:jc w:val="center"/>
      <w:rPr>
        <w:rFonts w:ascii="Helvetica Condensed Medium" w:hAnsi="Helvetica Condensed Medium"/>
        <w:sz w:val="14"/>
        <w:szCs w:val="14"/>
      </w:rPr>
    </w:pPr>
    <w:r w:rsidRPr="007A6080">
      <w:rPr>
        <w:rFonts w:ascii="Helvetica Condensed Medium" w:eastAsiaTheme="minorHAnsi" w:hAnsi="Helvetica Condensed Medium" w:cs="Arial"/>
        <w:sz w:val="14"/>
        <w:szCs w:val="14"/>
      </w:rPr>
      <w:t xml:space="preserve">Page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PAGE </w:instrText>
    </w:r>
    <w:r w:rsidRPr="007A6080">
      <w:rPr>
        <w:rFonts w:ascii="Helvetica Condensed Medium" w:eastAsiaTheme="minorHAnsi" w:hAnsi="Helvetica Condensed Medium" w:cs="Arial"/>
        <w:sz w:val="14"/>
        <w:szCs w:val="14"/>
      </w:rPr>
      <w:fldChar w:fldCharType="separate"/>
    </w:r>
    <w:r>
      <w:rPr>
        <w:rFonts w:ascii="Helvetica Condensed Medium" w:eastAsiaTheme="minorHAnsi" w:hAnsi="Helvetica Condensed Medium" w:cs="Arial"/>
        <w:sz w:val="14"/>
        <w:szCs w:val="14"/>
      </w:rPr>
      <w:t>1</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of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NUMPAGES </w:instrText>
    </w:r>
    <w:r w:rsidRPr="007A6080">
      <w:rPr>
        <w:rFonts w:ascii="Helvetica Condensed Medium" w:eastAsiaTheme="minorHAnsi" w:hAnsi="Helvetica Condensed Medium" w:cs="Arial"/>
        <w:sz w:val="14"/>
        <w:szCs w:val="14"/>
      </w:rPr>
      <w:fldChar w:fldCharType="separate"/>
    </w:r>
    <w:r>
      <w:rPr>
        <w:rFonts w:ascii="Helvetica Condensed Medium" w:eastAsiaTheme="minorHAnsi"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 </w:t>
    </w:r>
    <w:r w:rsidRPr="007A6080">
      <w:rPr>
        <w:rFonts w:ascii="Helvetica Condensed Medium" w:eastAsiaTheme="minorHAnsi" w:hAnsi="Helvetica Condensed Medium" w:cs="Arial"/>
        <w:i/>
        <w:iCs/>
        <w:sz w:val="14"/>
        <w:szCs w:val="14"/>
      </w:rPr>
      <w:t>ECFA Tools and Templates for Effective Board Governance</w:t>
    </w:r>
    <w:r w:rsidRPr="007A6080">
      <w:rPr>
        <w:rFonts w:ascii="Helvetica Condensed Medium" w:eastAsiaTheme="minorHAnsi" w:hAnsi="Helvetica Condensed Medium" w:cs="Arial"/>
        <w:sz w:val="14"/>
        <w:szCs w:val="14"/>
      </w:rPr>
      <w:t xml:space="preserve"> by Dan Busby and John Pearson. © 2019 ECFA. All rights reserved. </w:t>
    </w:r>
    <w:r w:rsidRPr="007A6080">
      <w:rPr>
        <w:rFonts w:ascii="Helvetica Condensed Medium" w:eastAsiaTheme="minorHAnsi" w:hAnsi="Helvetica Condensed Medium" w:cs="Arial"/>
        <w:i/>
        <w:iCs/>
        <w:sz w:val="14"/>
        <w:szCs w:val="14"/>
      </w:rPr>
      <w:t>www.ECFA.org/ECFAPress</w:t>
    </w:r>
  </w:p>
  <w:p w14:paraId="65161DD4" w14:textId="77777777" w:rsidR="004108B3" w:rsidRPr="00024ED0" w:rsidRDefault="004108B3">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E31B0" w14:textId="77777777" w:rsidR="008F7B26" w:rsidRDefault="008F7B26" w:rsidP="00803582">
      <w:r>
        <w:separator/>
      </w:r>
    </w:p>
  </w:footnote>
  <w:footnote w:type="continuationSeparator" w:id="0">
    <w:p w14:paraId="215B810B" w14:textId="77777777" w:rsidR="008F7B26" w:rsidRDefault="008F7B26" w:rsidP="0080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8958" w14:textId="77777777"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295A1BA8" wp14:editId="00E3B9DA">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49EBA"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Pr>
        <w:color w:val="636466"/>
        <w:spacing w:val="-3"/>
      </w:rPr>
      <w:t xml:space="preserve">TOOL </w:t>
    </w:r>
    <w:r>
      <w:rPr>
        <w:color w:val="636466"/>
      </w:rPr>
      <w:t>#</w:t>
    </w:r>
    <w:r w:rsidR="0016526D">
      <w:rPr>
        <w:color w:val="636466"/>
      </w:rPr>
      <w:t>8</w:t>
    </w:r>
    <w:r>
      <w:rPr>
        <w:color w:val="636466"/>
      </w:rPr>
      <w:t xml:space="preserve">: </w:t>
    </w:r>
    <w:r w:rsidR="0016526D">
      <w:rPr>
        <w:color w:val="636466"/>
      </w:rPr>
      <w:t>The Board’s Annual Fundraising Audit</w:t>
    </w:r>
  </w:p>
  <w:p w14:paraId="7E27D03A" w14:textId="77777777" w:rsidR="0016526D" w:rsidRDefault="001652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6D"/>
    <w:rsid w:val="00024ED0"/>
    <w:rsid w:val="0016526D"/>
    <w:rsid w:val="00195581"/>
    <w:rsid w:val="00210CA5"/>
    <w:rsid w:val="003428F1"/>
    <w:rsid w:val="00374EAF"/>
    <w:rsid w:val="003E7BAE"/>
    <w:rsid w:val="004108B3"/>
    <w:rsid w:val="00451427"/>
    <w:rsid w:val="005A2732"/>
    <w:rsid w:val="005A5F24"/>
    <w:rsid w:val="00634010"/>
    <w:rsid w:val="006F2139"/>
    <w:rsid w:val="00803582"/>
    <w:rsid w:val="00834684"/>
    <w:rsid w:val="00865C42"/>
    <w:rsid w:val="008F7B26"/>
    <w:rsid w:val="00A25E8B"/>
    <w:rsid w:val="00A453B6"/>
    <w:rsid w:val="00AB5FCE"/>
    <w:rsid w:val="00B32DA7"/>
    <w:rsid w:val="00BA36E5"/>
    <w:rsid w:val="00C052E4"/>
    <w:rsid w:val="00CB208B"/>
    <w:rsid w:val="00D44D75"/>
    <w:rsid w:val="00F4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F68DC"/>
  <w15:docId w15:val="{1721AC12-5FC4-3147-90FC-AE894A6B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526D"/>
    <w:rPr>
      <w:rFonts w:ascii="Helvetica LT" w:eastAsia="Helvetica LT" w:hAnsi="Helvetica LT" w:cs="Helvetica LT"/>
    </w:rPr>
  </w:style>
  <w:style w:type="paragraph" w:styleId="Heading1">
    <w:name w:val="heading 1"/>
    <w:basedOn w:val="Normal"/>
    <w:link w:val="Heading1Char"/>
    <w:uiPriority w:val="9"/>
    <w:qFormat/>
    <w:rsid w:val="0016526D"/>
    <w:pPr>
      <w:ind w:left="291"/>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03582"/>
    <w:rPr>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 w:type="character" w:customStyle="1" w:styleId="Heading1Char">
    <w:name w:val="Heading 1 Char"/>
    <w:basedOn w:val="DefaultParagraphFont"/>
    <w:link w:val="Heading1"/>
    <w:uiPriority w:val="9"/>
    <w:rsid w:val="0016526D"/>
    <w:rPr>
      <w:rFonts w:ascii="Helvetica LT" w:eastAsia="Helvetica LT" w:hAnsi="Helvetica LT" w:cs="Helvetica L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a.org/ToolsAndTemplates/Tool_08_Board_Annual_Fundraising_Audit.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1684D-13ED-B445-A101-9C4F1CA9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Template_aB.dotx</Template>
  <TotalTime>4</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5</cp:revision>
  <dcterms:created xsi:type="dcterms:W3CDTF">2019-08-22T20:44:00Z</dcterms:created>
  <dcterms:modified xsi:type="dcterms:W3CDTF">2019-09-11T21:25:00Z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