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2E9B" w14:textId="4178F3B1" w:rsidR="00BC25A1" w:rsidRPr="00FF5C89" w:rsidRDefault="00A77B98" w:rsidP="008322F3">
      <w:pPr>
        <w:pStyle w:val="Heading1"/>
        <w:tabs>
          <w:tab w:val="left" w:pos="10170"/>
        </w:tabs>
        <w:spacing w:before="207"/>
        <w:ind w:left="450"/>
        <w:rPr>
          <w:rFonts w:ascii="Helvetica" w:hAnsi="Helvetica"/>
        </w:rPr>
      </w:pPr>
      <w:bookmarkStart w:id="0" w:name="_GoBack"/>
      <w:r>
        <w:rPr>
          <w:noProof/>
          <w:sz w:val="24"/>
        </w:rPr>
        <w:drawing>
          <wp:anchor distT="0" distB="0" distL="114300" distR="114300" simplePos="0" relativeHeight="251661312" behindDoc="1" locked="0" layoutInCell="1" allowOverlap="1" wp14:anchorId="70BB0A42" wp14:editId="28CAD716">
            <wp:simplePos x="0" y="0"/>
            <wp:positionH relativeFrom="column">
              <wp:posOffset>5607586</wp:posOffset>
            </wp:positionH>
            <wp:positionV relativeFrom="paragraph">
              <wp:posOffset>-66102</wp:posOffset>
            </wp:positionV>
            <wp:extent cx="1162050" cy="228600"/>
            <wp:effectExtent l="0" t="0" r="635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sidR="00BC25A1" w:rsidRPr="00FF5C89">
        <w:rPr>
          <w:rFonts w:ascii="Helvetica" w:hAnsi="Helvetica"/>
          <w:noProof/>
        </w:rPr>
        <w:drawing>
          <wp:anchor distT="0" distB="0" distL="0" distR="0" simplePos="0" relativeHeight="251659264" behindDoc="0" locked="0" layoutInCell="1" allowOverlap="1" wp14:anchorId="2483A204" wp14:editId="68EB2940">
            <wp:simplePos x="0" y="0"/>
            <wp:positionH relativeFrom="page">
              <wp:posOffset>941908</wp:posOffset>
            </wp:positionH>
            <wp:positionV relativeFrom="paragraph">
              <wp:posOffset>573189</wp:posOffset>
            </wp:positionV>
            <wp:extent cx="1567637" cy="91676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567637" cy="916762"/>
                    </a:xfrm>
                    <a:prstGeom prst="rect">
                      <a:avLst/>
                    </a:prstGeom>
                  </pic:spPr>
                </pic:pic>
              </a:graphicData>
            </a:graphic>
          </wp:anchor>
        </w:drawing>
      </w:r>
      <w:r w:rsidR="00BC25A1" w:rsidRPr="00FF5C89">
        <w:rPr>
          <w:rFonts w:ascii="Helvetica" w:hAnsi="Helvetica"/>
          <w:color w:val="FFFFFF"/>
          <w:shd w:val="clear" w:color="auto" w:fill="325A8B"/>
        </w:rPr>
        <w:t xml:space="preserve"> </w:t>
      </w:r>
      <w:r w:rsidR="00BC25A1" w:rsidRPr="00FF5C89">
        <w:rPr>
          <w:rFonts w:ascii="Helvetica" w:hAnsi="Helvetica"/>
          <w:color w:val="FFFFFF"/>
          <w:spacing w:val="1"/>
          <w:shd w:val="clear" w:color="auto" w:fill="325A8B"/>
        </w:rPr>
        <w:t xml:space="preserve"> </w:t>
      </w:r>
      <w:r w:rsidR="00BC25A1" w:rsidRPr="00FF5C89">
        <w:rPr>
          <w:rFonts w:ascii="Helvetica" w:hAnsi="Helvetica"/>
          <w:color w:val="FFFFFF"/>
          <w:shd w:val="clear" w:color="auto" w:fill="325A8B"/>
        </w:rPr>
        <w:t xml:space="preserve">The </w:t>
      </w:r>
      <w:r w:rsidR="00BC25A1" w:rsidRPr="00FF5C89">
        <w:rPr>
          <w:rFonts w:ascii="Helvetica" w:hAnsi="Helvetica"/>
          <w:color w:val="FFFFFF"/>
          <w:spacing w:val="-3"/>
          <w:shd w:val="clear" w:color="auto" w:fill="325A8B"/>
        </w:rPr>
        <w:t xml:space="preserve">Board’s </w:t>
      </w:r>
      <w:r w:rsidR="00BC25A1" w:rsidRPr="00FF5C89">
        <w:rPr>
          <w:rFonts w:ascii="Helvetica" w:hAnsi="Helvetica"/>
          <w:color w:val="FFFFFF"/>
          <w:shd w:val="clear" w:color="auto" w:fill="325A8B"/>
        </w:rPr>
        <w:t>Annual Legal</w:t>
      </w:r>
      <w:r w:rsidR="00BC25A1" w:rsidRPr="00FF5C89">
        <w:rPr>
          <w:rFonts w:ascii="Helvetica" w:hAnsi="Helvetica"/>
          <w:color w:val="FFFFFF"/>
          <w:spacing w:val="-6"/>
          <w:shd w:val="clear" w:color="auto" w:fill="325A8B"/>
        </w:rPr>
        <w:t xml:space="preserve"> </w:t>
      </w:r>
      <w:r w:rsidR="00BC25A1" w:rsidRPr="00FF5C89">
        <w:rPr>
          <w:rFonts w:ascii="Helvetica" w:hAnsi="Helvetica"/>
          <w:color w:val="FFFFFF"/>
          <w:shd w:val="clear" w:color="auto" w:fill="325A8B"/>
        </w:rPr>
        <w:t>Audit</w:t>
      </w:r>
      <w:r>
        <w:rPr>
          <w:rFonts w:ascii="Helvetica" w:hAnsi="Helvetica"/>
          <w:color w:val="FFFFFF"/>
          <w:shd w:val="clear" w:color="auto" w:fill="325A8B"/>
        </w:rPr>
        <w:t xml:space="preserve">  </w:t>
      </w:r>
    </w:p>
    <w:p w14:paraId="5E95A9A1" w14:textId="77777777" w:rsidR="00BC25A1" w:rsidRPr="00FF5C89" w:rsidRDefault="00BC25A1" w:rsidP="00BC25A1">
      <w:pPr>
        <w:pStyle w:val="BodyText"/>
        <w:ind w:left="450"/>
        <w:rPr>
          <w:rFonts w:ascii="Helvetica" w:hAnsi="Helvetica"/>
          <w:b/>
          <w:sz w:val="38"/>
        </w:rPr>
      </w:pPr>
    </w:p>
    <w:p w14:paraId="4CA8CE29" w14:textId="77777777" w:rsidR="00BC25A1" w:rsidRPr="00FF5C89" w:rsidRDefault="00BC25A1" w:rsidP="00BC25A1">
      <w:pPr>
        <w:pStyle w:val="BodyText"/>
        <w:spacing w:before="1"/>
        <w:ind w:left="450"/>
        <w:rPr>
          <w:rFonts w:ascii="Helvetica" w:hAnsi="Helvetica"/>
          <w:b/>
          <w:sz w:val="35"/>
        </w:rPr>
      </w:pPr>
    </w:p>
    <w:p w14:paraId="02F9E659" w14:textId="77777777" w:rsidR="00BC25A1" w:rsidRPr="00FF5C89" w:rsidRDefault="00BC25A1" w:rsidP="001679E0">
      <w:pPr>
        <w:ind w:left="3510"/>
        <w:rPr>
          <w:rFonts w:ascii="Helvetica" w:hAnsi="Helvetica"/>
          <w:b/>
          <w:sz w:val="26"/>
        </w:rPr>
      </w:pPr>
      <w:r w:rsidRPr="00FF5C89">
        <w:rPr>
          <w:rFonts w:ascii="Helvetica" w:hAnsi="Helvetica"/>
          <w:b/>
          <w:color w:val="231F20"/>
          <w:sz w:val="26"/>
        </w:rPr>
        <w:t>17 Statements the Board Must Address Annually</w:t>
      </w:r>
    </w:p>
    <w:p w14:paraId="48068394" w14:textId="77777777" w:rsidR="00BC25A1" w:rsidRPr="00FF5C89" w:rsidRDefault="00BC25A1" w:rsidP="00BC25A1">
      <w:pPr>
        <w:pStyle w:val="BodyText"/>
        <w:ind w:left="450"/>
        <w:rPr>
          <w:rFonts w:ascii="Helvetica" w:hAnsi="Helvetica"/>
          <w:b/>
          <w:sz w:val="30"/>
        </w:rPr>
      </w:pPr>
    </w:p>
    <w:p w14:paraId="3CF294CB" w14:textId="77777777" w:rsidR="00BC25A1" w:rsidRPr="00FF5C89" w:rsidRDefault="00BC25A1" w:rsidP="00BC25A1">
      <w:pPr>
        <w:pStyle w:val="BodyText"/>
        <w:spacing w:before="8"/>
        <w:ind w:left="450"/>
        <w:rPr>
          <w:rFonts w:ascii="Helvetica" w:hAnsi="Helvetica"/>
          <w:b/>
          <w:sz w:val="44"/>
        </w:rPr>
      </w:pPr>
    </w:p>
    <w:p w14:paraId="4142F9ED" w14:textId="77777777" w:rsidR="00BC25A1" w:rsidRPr="00FF5C89" w:rsidRDefault="00BC25A1" w:rsidP="00BC25A1">
      <w:pPr>
        <w:pStyle w:val="BodyText"/>
        <w:spacing w:line="295" w:lineRule="auto"/>
        <w:ind w:left="450" w:right="542"/>
        <w:rPr>
          <w:rFonts w:ascii="Helvetica" w:hAnsi="Helvetica"/>
          <w:i w:val="0"/>
          <w:iCs/>
        </w:rPr>
      </w:pPr>
      <w:r w:rsidRPr="00FF5C89">
        <w:rPr>
          <w:rFonts w:ascii="Helvetica" w:hAnsi="Helvetica"/>
          <w:i w:val="0"/>
          <w:iCs/>
          <w:color w:val="231F20"/>
        </w:rPr>
        <w:t>Your board should expect clarity and honesty from the CEO, the COO, the CFO, staff, and all of the board’s committees. To provide clarity—so board members understand basic legal issues and legal trends—the information should be presented with a variety of approaches (for the diverse learning styles of your board members) and can include verbal and written reports, dashboards, and graphs. But there’s another important step—an annual checklist.</w:t>
      </w:r>
    </w:p>
    <w:p w14:paraId="417ACC32" w14:textId="77777777" w:rsidR="00BC25A1" w:rsidRPr="00FF5C89" w:rsidRDefault="00BC25A1" w:rsidP="00BC25A1">
      <w:pPr>
        <w:pStyle w:val="BodyText"/>
        <w:spacing w:before="1"/>
        <w:ind w:left="450"/>
        <w:rPr>
          <w:rFonts w:ascii="Helvetica" w:hAnsi="Helvetica"/>
          <w:i w:val="0"/>
          <w:iCs/>
        </w:rPr>
      </w:pPr>
    </w:p>
    <w:p w14:paraId="1EF85E80" w14:textId="77777777" w:rsidR="00BC25A1" w:rsidRPr="00FF5C89" w:rsidRDefault="00BC25A1" w:rsidP="00BC25A1">
      <w:pPr>
        <w:pStyle w:val="BodyText"/>
        <w:spacing w:line="295" w:lineRule="auto"/>
        <w:ind w:left="450" w:right="542"/>
        <w:rPr>
          <w:rFonts w:ascii="Helvetica" w:hAnsi="Helvetica"/>
          <w:i w:val="0"/>
          <w:iCs/>
        </w:rPr>
      </w:pPr>
      <w:r w:rsidRPr="00FF5C89">
        <w:rPr>
          <w:rFonts w:ascii="Helvetica" w:hAnsi="Helvetica"/>
          <w:b/>
          <w:i w:val="0"/>
          <w:iCs/>
          <w:color w:val="231F20"/>
        </w:rPr>
        <w:t xml:space="preserve">TRUE OR FALSE? </w:t>
      </w:r>
      <w:r w:rsidRPr="00FF5C89">
        <w:rPr>
          <w:rFonts w:ascii="Helvetica" w:hAnsi="Helvetica"/>
          <w:i w:val="0"/>
          <w:iCs/>
          <w:color w:val="231F20"/>
        </w:rPr>
        <w:t>Here are 17 statements that can be adapted for your ministry. Ask your CFO and COO to provide the answers for the question, “How does the board know?” Ultimately, of course, for the board to have faith and trust in the accuracy and veracity of the answers to these statements—the board will be dependent on the honesty and integrity of the CEO and the staff.</w:t>
      </w:r>
    </w:p>
    <w:p w14:paraId="394E2127" w14:textId="77777777" w:rsidR="00BC25A1" w:rsidRPr="00FF5C89" w:rsidRDefault="00BC25A1" w:rsidP="00BC25A1">
      <w:pPr>
        <w:pStyle w:val="BodyText"/>
        <w:rPr>
          <w:rFonts w:ascii="Helvetica" w:hAnsi="Helvetica"/>
          <w:i w:val="0"/>
          <w:iCs/>
        </w:rPr>
      </w:pPr>
    </w:p>
    <w:p w14:paraId="055AA80B" w14:textId="77777777" w:rsidR="00BC25A1" w:rsidRPr="00FF5C89" w:rsidRDefault="00BC25A1" w:rsidP="00BC25A1">
      <w:pPr>
        <w:spacing w:before="3"/>
        <w:ind w:left="450"/>
        <w:rPr>
          <w:rFonts w:ascii="Helvetica" w:hAnsi="Helvetica"/>
          <w:iCs/>
          <w:color w:val="231F20"/>
        </w:rPr>
      </w:pPr>
      <w:r w:rsidRPr="00FF5C89">
        <w:rPr>
          <w:rFonts w:ascii="Helvetica" w:hAnsi="Helvetica"/>
          <w:iCs/>
          <w:color w:val="231F20"/>
        </w:rPr>
        <w:t xml:space="preserve">Adapt these statements for your ministry—and review the answers at least annually. </w:t>
      </w:r>
    </w:p>
    <w:p w14:paraId="0A25F79E" w14:textId="77777777" w:rsidR="00BC25A1" w:rsidRPr="00FF5C89" w:rsidRDefault="00BC25A1" w:rsidP="00BC25A1">
      <w:pPr>
        <w:spacing w:before="120"/>
        <w:ind w:left="446"/>
        <w:rPr>
          <w:rFonts w:ascii="Helvetica" w:hAnsi="Helvetica"/>
          <w:sz w:val="24"/>
        </w:rPr>
      </w:pPr>
    </w:p>
    <w:tbl>
      <w:tblPr>
        <w:tblW w:w="0" w:type="auto"/>
        <w:tblInd w:w="55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699"/>
        <w:gridCol w:w="959"/>
        <w:gridCol w:w="4269"/>
      </w:tblGrid>
      <w:tr w:rsidR="00BC25A1" w:rsidRPr="00FF5C89" w14:paraId="5E09EC31" w14:textId="77777777" w:rsidTr="004B4DEF">
        <w:trPr>
          <w:trHeight w:val="592"/>
        </w:trPr>
        <w:tc>
          <w:tcPr>
            <w:tcW w:w="4699" w:type="dxa"/>
            <w:shd w:val="clear" w:color="auto" w:fill="EBEBEC"/>
          </w:tcPr>
          <w:p w14:paraId="6D9913C8" w14:textId="77777777" w:rsidR="00BC25A1" w:rsidRPr="00FF5C89" w:rsidRDefault="00BC25A1" w:rsidP="004B4DEF">
            <w:pPr>
              <w:pStyle w:val="TableParagraph"/>
              <w:spacing w:before="179"/>
              <w:ind w:left="720"/>
              <w:rPr>
                <w:rFonts w:ascii="Helvetica" w:hAnsi="Helvetica"/>
                <w:b/>
              </w:rPr>
            </w:pPr>
            <w:r w:rsidRPr="00FF5C89">
              <w:rPr>
                <w:rFonts w:ascii="Helvetica" w:hAnsi="Helvetica"/>
                <w:b/>
                <w:color w:val="231F20"/>
              </w:rPr>
              <w:t>The Board’s Annual Legal Audit</w:t>
            </w:r>
          </w:p>
        </w:tc>
        <w:tc>
          <w:tcPr>
            <w:tcW w:w="959" w:type="dxa"/>
            <w:shd w:val="clear" w:color="auto" w:fill="EBEBEC"/>
          </w:tcPr>
          <w:p w14:paraId="2498D702" w14:textId="77777777" w:rsidR="00BC25A1" w:rsidRPr="00FF5C89" w:rsidRDefault="00BC25A1" w:rsidP="004B4DEF">
            <w:pPr>
              <w:pStyle w:val="TableParagraph"/>
              <w:spacing w:before="102" w:line="228" w:lineRule="auto"/>
              <w:ind w:left="229" w:firstLine="16"/>
              <w:rPr>
                <w:rFonts w:ascii="Helvetica" w:hAnsi="Helvetica"/>
                <w:b/>
                <w:sz w:val="20"/>
              </w:rPr>
            </w:pPr>
            <w:r w:rsidRPr="00FF5C89">
              <w:rPr>
                <w:rFonts w:ascii="Helvetica" w:hAnsi="Helvetica"/>
                <w:b/>
                <w:color w:val="231F20"/>
                <w:sz w:val="20"/>
              </w:rPr>
              <w:t>True/ False</w:t>
            </w:r>
          </w:p>
        </w:tc>
        <w:tc>
          <w:tcPr>
            <w:tcW w:w="4269" w:type="dxa"/>
            <w:tcBorders>
              <w:right w:val="single" w:sz="8" w:space="0" w:color="231F20"/>
            </w:tcBorders>
            <w:shd w:val="clear" w:color="auto" w:fill="EBEBEC"/>
          </w:tcPr>
          <w:p w14:paraId="167D3FEC" w14:textId="77777777" w:rsidR="00BC25A1" w:rsidRPr="00FF5C89" w:rsidRDefault="00BC25A1" w:rsidP="004B4DEF">
            <w:pPr>
              <w:pStyle w:val="TableParagraph"/>
              <w:spacing w:before="190"/>
              <w:ind w:left="838"/>
              <w:rPr>
                <w:rFonts w:ascii="Helvetica" w:hAnsi="Helvetica"/>
                <w:b/>
                <w:sz w:val="20"/>
              </w:rPr>
            </w:pPr>
            <w:r w:rsidRPr="00FF5C89">
              <w:rPr>
                <w:rFonts w:ascii="Helvetica" w:hAnsi="Helvetica"/>
                <w:b/>
                <w:color w:val="231F20"/>
                <w:sz w:val="20"/>
              </w:rPr>
              <w:t>How does the board know?</w:t>
            </w:r>
          </w:p>
        </w:tc>
      </w:tr>
      <w:tr w:rsidR="00BC25A1" w:rsidRPr="00FF5C89" w14:paraId="543C644D" w14:textId="77777777" w:rsidTr="00FF5C89">
        <w:trPr>
          <w:trHeight w:val="1446"/>
        </w:trPr>
        <w:tc>
          <w:tcPr>
            <w:tcW w:w="4699" w:type="dxa"/>
            <w:vAlign w:val="center"/>
          </w:tcPr>
          <w:p w14:paraId="3DB6FB21"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1. The board has reviewed organizational practices within the past year to ensure compliance with its corporate documents (Articles, Bylaws, etc.) and applicable state and federal law.</w:t>
            </w:r>
          </w:p>
        </w:tc>
        <w:tc>
          <w:tcPr>
            <w:tcW w:w="959" w:type="dxa"/>
          </w:tcPr>
          <w:p w14:paraId="2FCCE6F9"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62C5AAF5" w14:textId="77777777" w:rsidR="00BC25A1" w:rsidRPr="00FF5C89" w:rsidRDefault="00BC25A1" w:rsidP="004B4DEF">
            <w:pPr>
              <w:pStyle w:val="TableParagraph"/>
              <w:rPr>
                <w:rFonts w:ascii="Helvetica" w:hAnsi="Helvetica"/>
                <w:sz w:val="20"/>
              </w:rPr>
            </w:pPr>
          </w:p>
        </w:tc>
      </w:tr>
      <w:tr w:rsidR="00BC25A1" w:rsidRPr="00FF5C89" w14:paraId="3A4CDE05" w14:textId="77777777" w:rsidTr="00FF5C89">
        <w:trPr>
          <w:trHeight w:val="1259"/>
        </w:trPr>
        <w:tc>
          <w:tcPr>
            <w:tcW w:w="4699" w:type="dxa"/>
            <w:vAlign w:val="center"/>
          </w:tcPr>
          <w:p w14:paraId="2BE0BC02"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2. Appropriately experienced legal counsel has reviewed the articles of incorporation, bylaws, and board policies in the last three years.</w:t>
            </w:r>
          </w:p>
        </w:tc>
        <w:tc>
          <w:tcPr>
            <w:tcW w:w="959" w:type="dxa"/>
          </w:tcPr>
          <w:p w14:paraId="679970FD"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04909911" w14:textId="77777777" w:rsidR="00BC25A1" w:rsidRPr="00FF5C89" w:rsidRDefault="00BC25A1" w:rsidP="004B4DEF">
            <w:pPr>
              <w:pStyle w:val="TableParagraph"/>
              <w:rPr>
                <w:rFonts w:ascii="Helvetica" w:hAnsi="Helvetica"/>
                <w:sz w:val="20"/>
              </w:rPr>
            </w:pPr>
          </w:p>
        </w:tc>
      </w:tr>
      <w:tr w:rsidR="00BC25A1" w:rsidRPr="00FF5C89" w14:paraId="6F864529" w14:textId="77777777" w:rsidTr="00FF5C89">
        <w:trPr>
          <w:trHeight w:val="914"/>
        </w:trPr>
        <w:tc>
          <w:tcPr>
            <w:tcW w:w="4699" w:type="dxa"/>
            <w:vAlign w:val="center"/>
          </w:tcPr>
          <w:p w14:paraId="31EE2C2D"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3. Our annual filings with each applicable state are current to maintain our corporate status.</w:t>
            </w:r>
          </w:p>
        </w:tc>
        <w:tc>
          <w:tcPr>
            <w:tcW w:w="959" w:type="dxa"/>
          </w:tcPr>
          <w:p w14:paraId="19218355"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35B80435" w14:textId="77777777" w:rsidR="00BC25A1" w:rsidRPr="00FF5C89" w:rsidRDefault="00BC25A1" w:rsidP="004B4DEF">
            <w:pPr>
              <w:pStyle w:val="TableParagraph"/>
              <w:rPr>
                <w:rFonts w:ascii="Helvetica" w:hAnsi="Helvetica"/>
                <w:sz w:val="20"/>
              </w:rPr>
            </w:pPr>
          </w:p>
        </w:tc>
      </w:tr>
      <w:tr w:rsidR="00BC25A1" w:rsidRPr="00FF5C89" w14:paraId="667B0838" w14:textId="77777777" w:rsidTr="00FF5C89">
        <w:trPr>
          <w:trHeight w:val="913"/>
        </w:trPr>
        <w:tc>
          <w:tcPr>
            <w:tcW w:w="4699" w:type="dxa"/>
            <w:vAlign w:val="center"/>
          </w:tcPr>
          <w:p w14:paraId="0D1822EB"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4. Our annual filings with each applicable state are current for charitable registration purposes.</w:t>
            </w:r>
          </w:p>
        </w:tc>
        <w:tc>
          <w:tcPr>
            <w:tcW w:w="959" w:type="dxa"/>
          </w:tcPr>
          <w:p w14:paraId="72004FEF"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1107775E" w14:textId="77777777" w:rsidR="00BC25A1" w:rsidRPr="00FF5C89" w:rsidRDefault="00BC25A1" w:rsidP="004B4DEF">
            <w:pPr>
              <w:pStyle w:val="TableParagraph"/>
              <w:rPr>
                <w:rFonts w:ascii="Helvetica" w:hAnsi="Helvetica"/>
                <w:sz w:val="20"/>
              </w:rPr>
            </w:pPr>
          </w:p>
        </w:tc>
      </w:tr>
      <w:tr w:rsidR="00BC25A1" w:rsidRPr="00FF5C89" w14:paraId="6BC7D708" w14:textId="77777777" w:rsidTr="00FF5C89">
        <w:trPr>
          <w:trHeight w:val="904"/>
        </w:trPr>
        <w:tc>
          <w:tcPr>
            <w:tcW w:w="4699" w:type="dxa"/>
            <w:vAlign w:val="center"/>
          </w:tcPr>
          <w:p w14:paraId="18F73998"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5. We are in compliance with our loan covenants, if applicable.</w:t>
            </w:r>
          </w:p>
        </w:tc>
        <w:tc>
          <w:tcPr>
            <w:tcW w:w="959" w:type="dxa"/>
          </w:tcPr>
          <w:p w14:paraId="5F692940"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60605C75" w14:textId="77777777" w:rsidR="00BC25A1" w:rsidRPr="00FF5C89" w:rsidRDefault="00BC25A1" w:rsidP="004B4DEF">
            <w:pPr>
              <w:pStyle w:val="TableParagraph"/>
              <w:rPr>
                <w:rFonts w:ascii="Helvetica" w:hAnsi="Helvetica"/>
                <w:sz w:val="20"/>
              </w:rPr>
            </w:pPr>
          </w:p>
        </w:tc>
      </w:tr>
      <w:tr w:rsidR="00BC25A1" w:rsidRPr="00FF5C89" w14:paraId="16EA7700" w14:textId="77777777" w:rsidTr="00FF5C89">
        <w:trPr>
          <w:trHeight w:val="914"/>
        </w:trPr>
        <w:tc>
          <w:tcPr>
            <w:tcW w:w="4699" w:type="dxa"/>
            <w:vAlign w:val="center"/>
          </w:tcPr>
          <w:p w14:paraId="6C9148A3"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 xml:space="preserve">6. All </w:t>
            </w:r>
            <w:r w:rsidRPr="00FF5C89">
              <w:rPr>
                <w:rFonts w:ascii="Helvetica" w:hAnsi="Helvetica"/>
                <w:color w:val="231F20"/>
                <w:spacing w:val="-4"/>
              </w:rPr>
              <w:t xml:space="preserve">payroll </w:t>
            </w:r>
            <w:r w:rsidRPr="00FF5C89">
              <w:rPr>
                <w:rFonts w:ascii="Helvetica" w:hAnsi="Helvetica"/>
                <w:color w:val="231F20"/>
              </w:rPr>
              <w:t xml:space="preserve">tax </w:t>
            </w:r>
            <w:r w:rsidRPr="00FF5C89">
              <w:rPr>
                <w:rFonts w:ascii="Helvetica" w:hAnsi="Helvetica"/>
                <w:color w:val="231F20"/>
                <w:spacing w:val="-3"/>
              </w:rPr>
              <w:t xml:space="preserve">filings </w:t>
            </w:r>
            <w:r w:rsidRPr="00FF5C89">
              <w:rPr>
                <w:rFonts w:ascii="Helvetica" w:hAnsi="Helvetica"/>
                <w:color w:val="231F20"/>
              </w:rPr>
              <w:t xml:space="preserve">are </w:t>
            </w:r>
            <w:r w:rsidRPr="00FF5C89">
              <w:rPr>
                <w:rFonts w:ascii="Helvetica" w:hAnsi="Helvetica"/>
                <w:color w:val="231F20"/>
                <w:spacing w:val="-3"/>
              </w:rPr>
              <w:t xml:space="preserve">current with </w:t>
            </w:r>
            <w:r w:rsidRPr="00FF5C89">
              <w:rPr>
                <w:rFonts w:ascii="Helvetica" w:hAnsi="Helvetica"/>
                <w:color w:val="231F20"/>
              </w:rPr>
              <w:t>federal</w:t>
            </w:r>
            <w:r w:rsidRPr="00FF5C89">
              <w:rPr>
                <w:rFonts w:ascii="Helvetica" w:hAnsi="Helvetica"/>
                <w:color w:val="231F20"/>
                <w:spacing w:val="-4"/>
              </w:rPr>
              <w:t xml:space="preserve">, </w:t>
            </w:r>
            <w:r w:rsidRPr="00FF5C89">
              <w:rPr>
                <w:rFonts w:ascii="Helvetica" w:hAnsi="Helvetica"/>
                <w:color w:val="231F20"/>
                <w:spacing w:val="-3"/>
              </w:rPr>
              <w:t xml:space="preserve">state, </w:t>
            </w:r>
            <w:r w:rsidRPr="00FF5C89">
              <w:rPr>
                <w:rFonts w:ascii="Helvetica" w:hAnsi="Helvetica"/>
                <w:color w:val="231F20"/>
              </w:rPr>
              <w:t xml:space="preserve">and </w:t>
            </w:r>
            <w:r w:rsidRPr="00FF5C89">
              <w:rPr>
                <w:rFonts w:ascii="Helvetica" w:hAnsi="Helvetica"/>
                <w:color w:val="231F20"/>
                <w:spacing w:val="-3"/>
              </w:rPr>
              <w:t xml:space="preserve">local </w:t>
            </w:r>
            <w:r w:rsidRPr="00FF5C89">
              <w:rPr>
                <w:rFonts w:ascii="Helvetica" w:hAnsi="Helvetica"/>
                <w:color w:val="231F20"/>
                <w:spacing w:val="-4"/>
              </w:rPr>
              <w:t xml:space="preserve">governments. </w:t>
            </w:r>
            <w:r w:rsidRPr="00FF5C89">
              <w:rPr>
                <w:rFonts w:ascii="Helvetica" w:hAnsi="Helvetica"/>
                <w:color w:val="231F20"/>
              </w:rPr>
              <w:t xml:space="preserve">If </w:t>
            </w:r>
            <w:r w:rsidRPr="00FF5C89">
              <w:rPr>
                <w:rFonts w:ascii="Helvetica" w:hAnsi="Helvetica"/>
                <w:color w:val="231F20"/>
                <w:spacing w:val="-5"/>
              </w:rPr>
              <w:t xml:space="preserve">so, </w:t>
            </w:r>
            <w:r w:rsidRPr="00FF5C89">
              <w:rPr>
                <w:rFonts w:ascii="Helvetica" w:hAnsi="Helvetica"/>
                <w:color w:val="231F20"/>
                <w:spacing w:val="-3"/>
              </w:rPr>
              <w:t xml:space="preserve">what </w:t>
            </w:r>
            <w:r w:rsidRPr="00FF5C89">
              <w:rPr>
                <w:rFonts w:ascii="Helvetica" w:hAnsi="Helvetica"/>
                <w:color w:val="231F20"/>
              </w:rPr>
              <w:t xml:space="preserve">is the </w:t>
            </w:r>
            <w:r w:rsidRPr="00FF5C89">
              <w:rPr>
                <w:rFonts w:ascii="Helvetica" w:hAnsi="Helvetica"/>
                <w:color w:val="231F20"/>
                <w:spacing w:val="-3"/>
              </w:rPr>
              <w:t xml:space="preserve">basis </w:t>
            </w:r>
            <w:r w:rsidRPr="00FF5C89">
              <w:rPr>
                <w:rFonts w:ascii="Helvetica" w:hAnsi="Helvetica"/>
                <w:color w:val="231F20"/>
                <w:spacing w:val="-4"/>
              </w:rPr>
              <w:t xml:space="preserve">for </w:t>
            </w:r>
            <w:r w:rsidRPr="00FF5C89">
              <w:rPr>
                <w:rFonts w:ascii="Helvetica" w:hAnsi="Helvetica"/>
                <w:color w:val="231F20"/>
                <w:spacing w:val="-3"/>
              </w:rPr>
              <w:t>that</w:t>
            </w:r>
            <w:r w:rsidRPr="00FF5C89">
              <w:rPr>
                <w:rFonts w:ascii="Helvetica" w:hAnsi="Helvetica"/>
                <w:color w:val="231F20"/>
                <w:spacing w:val="-17"/>
              </w:rPr>
              <w:t xml:space="preserve"> </w:t>
            </w:r>
            <w:r w:rsidRPr="00FF5C89">
              <w:rPr>
                <w:rFonts w:ascii="Helvetica" w:hAnsi="Helvetica"/>
                <w:color w:val="231F20"/>
                <w:spacing w:val="-3"/>
              </w:rPr>
              <w:t>determination?</w:t>
            </w:r>
          </w:p>
        </w:tc>
        <w:tc>
          <w:tcPr>
            <w:tcW w:w="959" w:type="dxa"/>
          </w:tcPr>
          <w:p w14:paraId="1C9C8370"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3B6B1AA8" w14:textId="77777777" w:rsidR="00BC25A1" w:rsidRPr="00FF5C89" w:rsidRDefault="00BC25A1" w:rsidP="004B4DEF">
            <w:pPr>
              <w:pStyle w:val="TableParagraph"/>
              <w:rPr>
                <w:rFonts w:ascii="Helvetica" w:hAnsi="Helvetica"/>
                <w:sz w:val="20"/>
              </w:rPr>
            </w:pPr>
          </w:p>
        </w:tc>
      </w:tr>
    </w:tbl>
    <w:p w14:paraId="33AABFB3" w14:textId="6BE5D237" w:rsidR="00BC25A1" w:rsidRPr="00FF5C89" w:rsidRDefault="00BC25A1">
      <w:pPr>
        <w:rPr>
          <w:rFonts w:ascii="Helvetica" w:hAnsi="Helvetica"/>
          <w:sz w:val="20"/>
          <w:szCs w:val="20"/>
        </w:rPr>
      </w:pPr>
    </w:p>
    <w:tbl>
      <w:tblPr>
        <w:tblW w:w="0" w:type="auto"/>
        <w:tblInd w:w="53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699"/>
        <w:gridCol w:w="959"/>
        <w:gridCol w:w="4269"/>
      </w:tblGrid>
      <w:tr w:rsidR="00BC25A1" w:rsidRPr="00FF5C89" w14:paraId="65C2423C" w14:textId="77777777" w:rsidTr="004B4DEF">
        <w:trPr>
          <w:trHeight w:val="606"/>
        </w:trPr>
        <w:tc>
          <w:tcPr>
            <w:tcW w:w="4699" w:type="dxa"/>
            <w:shd w:val="clear" w:color="auto" w:fill="EBEBEC"/>
          </w:tcPr>
          <w:p w14:paraId="3888FAE3" w14:textId="77777777" w:rsidR="00BC25A1" w:rsidRPr="00FF5C89" w:rsidRDefault="00BC25A1" w:rsidP="004B4DEF">
            <w:pPr>
              <w:pStyle w:val="TableParagraph"/>
              <w:spacing w:before="186"/>
              <w:ind w:left="720"/>
              <w:rPr>
                <w:rFonts w:ascii="Helvetica" w:hAnsi="Helvetica"/>
                <w:b/>
              </w:rPr>
            </w:pPr>
            <w:r w:rsidRPr="00FF5C89">
              <w:rPr>
                <w:rFonts w:ascii="Helvetica" w:hAnsi="Helvetica"/>
                <w:b/>
                <w:color w:val="231F20"/>
              </w:rPr>
              <w:t>The Board’s Annual Legal Audit</w:t>
            </w:r>
          </w:p>
        </w:tc>
        <w:tc>
          <w:tcPr>
            <w:tcW w:w="959" w:type="dxa"/>
            <w:shd w:val="clear" w:color="auto" w:fill="EBEBEC"/>
          </w:tcPr>
          <w:p w14:paraId="7A0DAD87" w14:textId="77777777" w:rsidR="00BC25A1" w:rsidRPr="00FF5C89" w:rsidRDefault="00BC25A1" w:rsidP="004B4DEF">
            <w:pPr>
              <w:pStyle w:val="TableParagraph"/>
              <w:spacing w:before="110" w:line="228" w:lineRule="auto"/>
              <w:ind w:left="229" w:firstLine="16"/>
              <w:rPr>
                <w:rFonts w:ascii="Helvetica" w:hAnsi="Helvetica"/>
                <w:b/>
                <w:sz w:val="20"/>
              </w:rPr>
            </w:pPr>
            <w:r w:rsidRPr="00FF5C89">
              <w:rPr>
                <w:rFonts w:ascii="Helvetica" w:hAnsi="Helvetica"/>
                <w:b/>
                <w:color w:val="231F20"/>
                <w:sz w:val="20"/>
              </w:rPr>
              <w:t>True/ False</w:t>
            </w:r>
          </w:p>
        </w:tc>
        <w:tc>
          <w:tcPr>
            <w:tcW w:w="4269" w:type="dxa"/>
            <w:tcBorders>
              <w:right w:val="single" w:sz="8" w:space="0" w:color="231F20"/>
            </w:tcBorders>
            <w:shd w:val="clear" w:color="auto" w:fill="EBEBEC"/>
          </w:tcPr>
          <w:p w14:paraId="79C716CA" w14:textId="77777777" w:rsidR="00BC25A1" w:rsidRPr="00FF5C89" w:rsidRDefault="00BC25A1" w:rsidP="004B4DEF">
            <w:pPr>
              <w:pStyle w:val="TableParagraph"/>
              <w:spacing w:before="197"/>
              <w:ind w:left="838"/>
              <w:rPr>
                <w:rFonts w:ascii="Helvetica" w:hAnsi="Helvetica"/>
                <w:b/>
                <w:sz w:val="20"/>
              </w:rPr>
            </w:pPr>
            <w:r w:rsidRPr="00FF5C89">
              <w:rPr>
                <w:rFonts w:ascii="Helvetica" w:hAnsi="Helvetica"/>
                <w:b/>
                <w:color w:val="231F20"/>
                <w:sz w:val="20"/>
              </w:rPr>
              <w:t>How does the board know?</w:t>
            </w:r>
          </w:p>
        </w:tc>
      </w:tr>
      <w:tr w:rsidR="00BC25A1" w:rsidRPr="00FF5C89" w14:paraId="36DC01B8" w14:textId="77777777" w:rsidTr="00FF5C89">
        <w:trPr>
          <w:trHeight w:val="944"/>
        </w:trPr>
        <w:tc>
          <w:tcPr>
            <w:tcW w:w="4699" w:type="dxa"/>
            <w:vAlign w:val="center"/>
          </w:tcPr>
          <w:p w14:paraId="6873E591" w14:textId="77777777" w:rsidR="00BC25A1" w:rsidRPr="00FF5C89" w:rsidRDefault="00BC25A1" w:rsidP="00FF5C89">
            <w:pPr>
              <w:pStyle w:val="TableParagraph"/>
              <w:spacing w:before="80" w:after="80"/>
              <w:ind w:left="471" w:right="455" w:hanging="271"/>
              <w:rPr>
                <w:rFonts w:ascii="Helvetica" w:hAnsi="Helvetica"/>
              </w:rPr>
            </w:pPr>
            <w:r w:rsidRPr="00FF5C89">
              <w:rPr>
                <w:rFonts w:ascii="Helvetica" w:hAnsi="Helvetica"/>
                <w:color w:val="231F20"/>
              </w:rPr>
              <w:t>7. All informational filings with the federal government (Forms 1098, 1099,</w:t>
            </w:r>
            <w:r w:rsidRPr="00FF5C89">
              <w:rPr>
                <w:rFonts w:ascii="Helvetica" w:hAnsi="Helvetica"/>
                <w:color w:val="231F20"/>
                <w:spacing w:val="-7"/>
              </w:rPr>
              <w:t xml:space="preserve"> </w:t>
            </w:r>
            <w:r w:rsidRPr="00FF5C89">
              <w:rPr>
                <w:rFonts w:ascii="Helvetica" w:hAnsi="Helvetica"/>
                <w:color w:val="231F20"/>
              </w:rPr>
              <w:t>5578, and others, as applicable) are</w:t>
            </w:r>
            <w:r w:rsidRPr="00FF5C89">
              <w:rPr>
                <w:rFonts w:ascii="Helvetica" w:hAnsi="Helvetica"/>
                <w:color w:val="231F20"/>
                <w:spacing w:val="-8"/>
              </w:rPr>
              <w:t xml:space="preserve"> </w:t>
            </w:r>
            <w:r w:rsidRPr="00FF5C89">
              <w:rPr>
                <w:rFonts w:ascii="Helvetica" w:hAnsi="Helvetica"/>
                <w:color w:val="231F20"/>
              </w:rPr>
              <w:t>current.</w:t>
            </w:r>
          </w:p>
        </w:tc>
        <w:tc>
          <w:tcPr>
            <w:tcW w:w="959" w:type="dxa"/>
          </w:tcPr>
          <w:p w14:paraId="413AC97C"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075083C6" w14:textId="77777777" w:rsidR="00BC25A1" w:rsidRPr="00FF5C89" w:rsidRDefault="00BC25A1" w:rsidP="004B4DEF">
            <w:pPr>
              <w:pStyle w:val="TableParagraph"/>
              <w:rPr>
                <w:rFonts w:ascii="Helvetica" w:hAnsi="Helvetica"/>
                <w:sz w:val="20"/>
              </w:rPr>
            </w:pPr>
          </w:p>
        </w:tc>
      </w:tr>
      <w:tr w:rsidR="00BC25A1" w:rsidRPr="00FF5C89" w14:paraId="46F4EA29" w14:textId="77777777" w:rsidTr="00FF5C89">
        <w:trPr>
          <w:trHeight w:val="933"/>
        </w:trPr>
        <w:tc>
          <w:tcPr>
            <w:tcW w:w="4699" w:type="dxa"/>
            <w:vAlign w:val="center"/>
          </w:tcPr>
          <w:p w14:paraId="38944205" w14:textId="77777777" w:rsidR="00BC25A1" w:rsidRPr="00FF5C89" w:rsidRDefault="00BC25A1" w:rsidP="00FF5C89">
            <w:pPr>
              <w:pStyle w:val="TableParagraph"/>
              <w:spacing w:before="80" w:after="80"/>
              <w:ind w:left="464" w:right="64" w:hanging="271"/>
              <w:rPr>
                <w:rFonts w:ascii="Helvetica" w:hAnsi="Helvetica"/>
              </w:rPr>
            </w:pPr>
            <w:r w:rsidRPr="00FF5C89">
              <w:rPr>
                <w:rFonts w:ascii="Helvetica" w:hAnsi="Helvetica"/>
                <w:color w:val="231F20"/>
              </w:rPr>
              <w:t>8. The annual filings of Form 990 and 990-T, if applicable, are current.</w:t>
            </w:r>
          </w:p>
        </w:tc>
        <w:tc>
          <w:tcPr>
            <w:tcW w:w="959" w:type="dxa"/>
          </w:tcPr>
          <w:p w14:paraId="2AB59A40"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13EB5A53" w14:textId="77777777" w:rsidR="00BC25A1" w:rsidRPr="00FF5C89" w:rsidRDefault="00BC25A1" w:rsidP="004B4DEF">
            <w:pPr>
              <w:pStyle w:val="TableParagraph"/>
              <w:rPr>
                <w:rFonts w:ascii="Helvetica" w:hAnsi="Helvetica"/>
                <w:sz w:val="20"/>
              </w:rPr>
            </w:pPr>
          </w:p>
        </w:tc>
      </w:tr>
      <w:tr w:rsidR="00BC25A1" w:rsidRPr="00FF5C89" w14:paraId="6CC9936B" w14:textId="77777777" w:rsidTr="00FF5C89">
        <w:trPr>
          <w:trHeight w:val="934"/>
        </w:trPr>
        <w:tc>
          <w:tcPr>
            <w:tcW w:w="4699" w:type="dxa"/>
            <w:vAlign w:val="center"/>
          </w:tcPr>
          <w:p w14:paraId="5D447B53" w14:textId="77777777" w:rsidR="00BC25A1" w:rsidRPr="00FF5C89" w:rsidRDefault="00BC25A1" w:rsidP="00FF5C89">
            <w:pPr>
              <w:pStyle w:val="TableParagraph"/>
              <w:spacing w:before="80" w:after="80"/>
              <w:ind w:left="461" w:hanging="274"/>
              <w:rPr>
                <w:rFonts w:ascii="Helvetica" w:hAnsi="Helvetica"/>
              </w:rPr>
            </w:pPr>
            <w:r w:rsidRPr="00FF5C89">
              <w:rPr>
                <w:rFonts w:ascii="Helvetica" w:hAnsi="Helvetica"/>
                <w:color w:val="231F20"/>
              </w:rPr>
              <w:t>9. The ministry is in compliance with all significant contractual agreements.</w:t>
            </w:r>
          </w:p>
        </w:tc>
        <w:tc>
          <w:tcPr>
            <w:tcW w:w="959" w:type="dxa"/>
          </w:tcPr>
          <w:p w14:paraId="273C074E"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44F1013E" w14:textId="77777777" w:rsidR="00BC25A1" w:rsidRPr="00FF5C89" w:rsidRDefault="00BC25A1" w:rsidP="004B4DEF">
            <w:pPr>
              <w:pStyle w:val="TableParagraph"/>
              <w:rPr>
                <w:rFonts w:ascii="Helvetica" w:hAnsi="Helvetica"/>
                <w:sz w:val="20"/>
              </w:rPr>
            </w:pPr>
          </w:p>
        </w:tc>
      </w:tr>
      <w:tr w:rsidR="00BC25A1" w:rsidRPr="00FF5C89" w14:paraId="44B050D5" w14:textId="77777777" w:rsidTr="00FF5C89">
        <w:trPr>
          <w:trHeight w:val="933"/>
        </w:trPr>
        <w:tc>
          <w:tcPr>
            <w:tcW w:w="4699" w:type="dxa"/>
            <w:vAlign w:val="center"/>
          </w:tcPr>
          <w:p w14:paraId="2A39779F" w14:textId="77777777" w:rsidR="00BC25A1" w:rsidRPr="00FF5C89" w:rsidRDefault="00BC25A1" w:rsidP="00FF5C89">
            <w:pPr>
              <w:pStyle w:val="TableParagraph"/>
              <w:spacing w:before="80" w:after="80"/>
              <w:ind w:left="457" w:hanging="361"/>
              <w:rPr>
                <w:rFonts w:ascii="Helvetica" w:hAnsi="Helvetica"/>
              </w:rPr>
            </w:pPr>
            <w:r w:rsidRPr="00FF5C89">
              <w:rPr>
                <w:rFonts w:ascii="Helvetica" w:hAnsi="Helvetica"/>
                <w:color w:val="231F20"/>
              </w:rPr>
              <w:t>10. All filings for the ministry’s copyrights and trademarks are current.</w:t>
            </w:r>
          </w:p>
        </w:tc>
        <w:tc>
          <w:tcPr>
            <w:tcW w:w="959" w:type="dxa"/>
          </w:tcPr>
          <w:p w14:paraId="79AECB27"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41B48071" w14:textId="77777777" w:rsidR="00BC25A1" w:rsidRPr="00FF5C89" w:rsidRDefault="00BC25A1" w:rsidP="004B4DEF">
            <w:pPr>
              <w:pStyle w:val="TableParagraph"/>
              <w:rPr>
                <w:rFonts w:ascii="Helvetica" w:hAnsi="Helvetica"/>
                <w:sz w:val="20"/>
              </w:rPr>
            </w:pPr>
          </w:p>
        </w:tc>
      </w:tr>
      <w:tr w:rsidR="00BC25A1" w:rsidRPr="00FF5C89" w14:paraId="4EACB9F4" w14:textId="77777777" w:rsidTr="00FF5C89">
        <w:trPr>
          <w:trHeight w:val="944"/>
        </w:trPr>
        <w:tc>
          <w:tcPr>
            <w:tcW w:w="4699" w:type="dxa"/>
            <w:vAlign w:val="center"/>
          </w:tcPr>
          <w:p w14:paraId="3B19D6CB" w14:textId="77777777" w:rsidR="00BC25A1" w:rsidRPr="00FF5C89" w:rsidRDefault="00BC25A1" w:rsidP="00FF5C89">
            <w:pPr>
              <w:pStyle w:val="TableParagraph"/>
              <w:spacing w:before="80" w:after="80"/>
              <w:ind w:left="457" w:right="154" w:hanging="361"/>
              <w:rPr>
                <w:rFonts w:ascii="Helvetica" w:hAnsi="Helvetica"/>
              </w:rPr>
            </w:pPr>
            <w:r w:rsidRPr="00FF5C89">
              <w:rPr>
                <w:rFonts w:ascii="Helvetica" w:hAnsi="Helvetica"/>
                <w:color w:val="231F20"/>
              </w:rPr>
              <w:t xml:space="preserve">11. The ministry’s insurance coverages are </w:t>
            </w:r>
            <w:proofErr w:type="gramStart"/>
            <w:r w:rsidRPr="00FF5C89">
              <w:rPr>
                <w:rFonts w:ascii="Helvetica" w:hAnsi="Helvetica"/>
                <w:color w:val="231F20"/>
              </w:rPr>
              <w:t>adequate</w:t>
            </w:r>
            <w:proofErr w:type="gramEnd"/>
            <w:r w:rsidRPr="00FF5C89">
              <w:rPr>
                <w:rFonts w:ascii="Helvetica" w:hAnsi="Helvetica"/>
                <w:color w:val="231F20"/>
              </w:rPr>
              <w:t xml:space="preserve"> and all insurance policies are in force.</w:t>
            </w:r>
          </w:p>
        </w:tc>
        <w:tc>
          <w:tcPr>
            <w:tcW w:w="959" w:type="dxa"/>
          </w:tcPr>
          <w:p w14:paraId="6951F44C"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0815FD8D" w14:textId="77777777" w:rsidR="00BC25A1" w:rsidRPr="00FF5C89" w:rsidRDefault="00BC25A1" w:rsidP="004B4DEF">
            <w:pPr>
              <w:pStyle w:val="TableParagraph"/>
              <w:rPr>
                <w:rFonts w:ascii="Helvetica" w:hAnsi="Helvetica"/>
                <w:sz w:val="20"/>
              </w:rPr>
            </w:pPr>
          </w:p>
        </w:tc>
      </w:tr>
      <w:tr w:rsidR="00BC25A1" w:rsidRPr="00FF5C89" w14:paraId="68242262" w14:textId="77777777" w:rsidTr="00FF5C89">
        <w:trPr>
          <w:trHeight w:val="1809"/>
        </w:trPr>
        <w:tc>
          <w:tcPr>
            <w:tcW w:w="4699" w:type="dxa"/>
            <w:vAlign w:val="center"/>
          </w:tcPr>
          <w:p w14:paraId="5366942A" w14:textId="77777777" w:rsidR="00BC25A1" w:rsidRPr="00FF5C89" w:rsidRDefault="00BC25A1" w:rsidP="00FF5C89">
            <w:pPr>
              <w:pStyle w:val="TableParagraph"/>
              <w:spacing w:before="80" w:after="80"/>
              <w:ind w:left="457" w:right="215" w:hanging="361"/>
              <w:rPr>
                <w:rFonts w:ascii="Helvetica" w:hAnsi="Helvetica"/>
              </w:rPr>
            </w:pPr>
            <w:r w:rsidRPr="00FF5C89">
              <w:rPr>
                <w:rFonts w:ascii="Helvetica" w:hAnsi="Helvetica"/>
                <w:color w:val="231F20"/>
              </w:rPr>
              <w:t>12. The ministry uses written memos of understanding or contracts to specify the roles and responsibilities of the parties to any partnership, joint venture, or other collaboration, signed by all parties to the agreements.</w:t>
            </w:r>
          </w:p>
        </w:tc>
        <w:tc>
          <w:tcPr>
            <w:tcW w:w="959" w:type="dxa"/>
          </w:tcPr>
          <w:p w14:paraId="214EF6E3"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6D621DF5" w14:textId="77777777" w:rsidR="00BC25A1" w:rsidRPr="00FF5C89" w:rsidRDefault="00BC25A1" w:rsidP="004B4DEF">
            <w:pPr>
              <w:pStyle w:val="TableParagraph"/>
              <w:rPr>
                <w:rFonts w:ascii="Helvetica" w:hAnsi="Helvetica"/>
                <w:sz w:val="20"/>
              </w:rPr>
            </w:pPr>
          </w:p>
        </w:tc>
      </w:tr>
      <w:tr w:rsidR="00BC25A1" w:rsidRPr="00FF5C89" w14:paraId="0A1F8850" w14:textId="77777777" w:rsidTr="00FF5C89">
        <w:trPr>
          <w:trHeight w:val="1349"/>
        </w:trPr>
        <w:tc>
          <w:tcPr>
            <w:tcW w:w="4699" w:type="dxa"/>
            <w:vAlign w:val="center"/>
          </w:tcPr>
          <w:p w14:paraId="4D47F679" w14:textId="77777777" w:rsidR="00BC25A1" w:rsidRPr="00FF5C89" w:rsidRDefault="00BC25A1" w:rsidP="00FF5C89">
            <w:pPr>
              <w:pStyle w:val="TableParagraph"/>
              <w:spacing w:before="80" w:after="80"/>
              <w:ind w:left="457" w:hanging="361"/>
              <w:rPr>
                <w:rFonts w:ascii="Helvetica" w:hAnsi="Helvetica"/>
              </w:rPr>
            </w:pPr>
            <w:r w:rsidRPr="00FF5C89">
              <w:rPr>
                <w:rFonts w:ascii="Helvetica" w:hAnsi="Helvetica"/>
                <w:color w:val="231F20"/>
              </w:rPr>
              <w:t>13. All ministry funds are being expended consistent with the organization’s mission and for tax-exempt purposes (for ministry purposes, not private benefit).</w:t>
            </w:r>
          </w:p>
        </w:tc>
        <w:tc>
          <w:tcPr>
            <w:tcW w:w="959" w:type="dxa"/>
          </w:tcPr>
          <w:p w14:paraId="5CC756DF"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665C9DD3" w14:textId="77777777" w:rsidR="00BC25A1" w:rsidRPr="00FF5C89" w:rsidRDefault="00BC25A1" w:rsidP="004B4DEF">
            <w:pPr>
              <w:pStyle w:val="TableParagraph"/>
              <w:rPr>
                <w:rFonts w:ascii="Helvetica" w:hAnsi="Helvetica"/>
                <w:sz w:val="20"/>
              </w:rPr>
            </w:pPr>
          </w:p>
        </w:tc>
      </w:tr>
      <w:tr w:rsidR="00BC25A1" w:rsidRPr="00FF5C89" w14:paraId="2B134725" w14:textId="77777777" w:rsidTr="00FF5C89">
        <w:trPr>
          <w:trHeight w:val="944"/>
        </w:trPr>
        <w:tc>
          <w:tcPr>
            <w:tcW w:w="4699" w:type="dxa"/>
            <w:vAlign w:val="center"/>
          </w:tcPr>
          <w:p w14:paraId="76BD24AC" w14:textId="77777777" w:rsidR="00BC25A1" w:rsidRPr="00FF5C89" w:rsidRDefault="00BC25A1" w:rsidP="00FF5C89">
            <w:pPr>
              <w:pStyle w:val="TableParagraph"/>
              <w:spacing w:before="80" w:after="80"/>
              <w:ind w:left="461" w:right="374" w:hanging="360"/>
              <w:rPr>
                <w:rFonts w:ascii="Helvetica" w:hAnsi="Helvetica"/>
              </w:rPr>
            </w:pPr>
            <w:r w:rsidRPr="00FF5C89">
              <w:rPr>
                <w:rFonts w:ascii="Helvetica" w:hAnsi="Helvetica"/>
                <w:color w:val="231F20"/>
              </w:rPr>
              <w:t>14. The board has approved the establishment of each type of restricted fund.</w:t>
            </w:r>
          </w:p>
        </w:tc>
        <w:tc>
          <w:tcPr>
            <w:tcW w:w="959" w:type="dxa"/>
          </w:tcPr>
          <w:p w14:paraId="5134E2DA"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74EFB583" w14:textId="77777777" w:rsidR="00BC25A1" w:rsidRPr="00FF5C89" w:rsidRDefault="00BC25A1" w:rsidP="004B4DEF">
            <w:pPr>
              <w:pStyle w:val="TableParagraph"/>
              <w:rPr>
                <w:rFonts w:ascii="Helvetica" w:hAnsi="Helvetica"/>
                <w:sz w:val="20"/>
              </w:rPr>
            </w:pPr>
          </w:p>
        </w:tc>
      </w:tr>
      <w:tr w:rsidR="00BC25A1" w:rsidRPr="00FF5C89" w14:paraId="5789D4AC" w14:textId="77777777" w:rsidTr="00FF5C89">
        <w:trPr>
          <w:trHeight w:val="839"/>
        </w:trPr>
        <w:tc>
          <w:tcPr>
            <w:tcW w:w="4699" w:type="dxa"/>
            <w:vAlign w:val="center"/>
          </w:tcPr>
          <w:p w14:paraId="1D9D274B" w14:textId="77777777" w:rsidR="00BC25A1" w:rsidRPr="00FF5C89" w:rsidRDefault="00BC25A1" w:rsidP="00FF5C89">
            <w:pPr>
              <w:pStyle w:val="TableParagraph"/>
              <w:spacing w:before="80" w:after="80"/>
              <w:ind w:left="461" w:right="374" w:hanging="360"/>
              <w:rPr>
                <w:rFonts w:ascii="Helvetica" w:hAnsi="Helvetica"/>
              </w:rPr>
            </w:pPr>
            <w:r w:rsidRPr="00FF5C89">
              <w:rPr>
                <w:rFonts w:ascii="Helvetica" w:hAnsi="Helvetica"/>
                <w:color w:val="231F20"/>
              </w:rPr>
              <w:t>15. Giver-restricted funds are being disbursed in a timely manner.</w:t>
            </w:r>
          </w:p>
        </w:tc>
        <w:tc>
          <w:tcPr>
            <w:tcW w:w="959" w:type="dxa"/>
          </w:tcPr>
          <w:p w14:paraId="30F91B59"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5F9AFA86" w14:textId="77777777" w:rsidR="00BC25A1" w:rsidRPr="00FF5C89" w:rsidRDefault="00BC25A1" w:rsidP="004B4DEF">
            <w:pPr>
              <w:pStyle w:val="TableParagraph"/>
              <w:rPr>
                <w:rFonts w:ascii="Helvetica" w:hAnsi="Helvetica"/>
                <w:sz w:val="20"/>
              </w:rPr>
            </w:pPr>
          </w:p>
        </w:tc>
      </w:tr>
      <w:tr w:rsidR="00BC25A1" w:rsidRPr="00FF5C89" w14:paraId="441F29F7" w14:textId="77777777" w:rsidTr="00FF5C89">
        <w:trPr>
          <w:trHeight w:val="936"/>
        </w:trPr>
        <w:tc>
          <w:tcPr>
            <w:tcW w:w="4699" w:type="dxa"/>
            <w:vAlign w:val="center"/>
          </w:tcPr>
          <w:p w14:paraId="60572AE3" w14:textId="77777777" w:rsidR="00BC25A1" w:rsidRPr="00FF5C89" w:rsidRDefault="00BC25A1" w:rsidP="00FF5C89">
            <w:pPr>
              <w:pStyle w:val="TableParagraph"/>
              <w:spacing w:before="80" w:after="80"/>
              <w:ind w:left="461" w:right="374" w:hanging="360"/>
              <w:rPr>
                <w:rFonts w:ascii="Helvetica" w:hAnsi="Helvetica"/>
              </w:rPr>
            </w:pPr>
            <w:r w:rsidRPr="00FF5C89">
              <w:rPr>
                <w:rFonts w:ascii="Helvetica" w:hAnsi="Helvetica"/>
                <w:color w:val="231F20"/>
              </w:rPr>
              <w:t>16. Giver-restricted funds are always used for the intended purpose.</w:t>
            </w:r>
          </w:p>
        </w:tc>
        <w:tc>
          <w:tcPr>
            <w:tcW w:w="959" w:type="dxa"/>
          </w:tcPr>
          <w:p w14:paraId="0B152CBF"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46624C8A" w14:textId="77777777" w:rsidR="00BC25A1" w:rsidRPr="00FF5C89" w:rsidRDefault="00BC25A1" w:rsidP="004B4DEF">
            <w:pPr>
              <w:pStyle w:val="TableParagraph"/>
              <w:rPr>
                <w:rFonts w:ascii="Helvetica" w:hAnsi="Helvetica"/>
                <w:sz w:val="20"/>
              </w:rPr>
            </w:pPr>
          </w:p>
        </w:tc>
      </w:tr>
      <w:tr w:rsidR="00BC25A1" w:rsidRPr="00FF5C89" w14:paraId="2B200973" w14:textId="77777777" w:rsidTr="00FF5C89">
        <w:trPr>
          <w:trHeight w:val="944"/>
        </w:trPr>
        <w:tc>
          <w:tcPr>
            <w:tcW w:w="4699" w:type="dxa"/>
            <w:vAlign w:val="center"/>
          </w:tcPr>
          <w:p w14:paraId="7A99CEC8" w14:textId="77777777" w:rsidR="00BC25A1" w:rsidRPr="00FF5C89" w:rsidRDefault="00BC25A1" w:rsidP="00FF5C89">
            <w:pPr>
              <w:pStyle w:val="TableParagraph"/>
              <w:spacing w:before="80" w:after="80"/>
              <w:ind w:left="461" w:right="374" w:hanging="360"/>
              <w:rPr>
                <w:rFonts w:ascii="Helvetica" w:hAnsi="Helvetica"/>
              </w:rPr>
            </w:pPr>
            <w:r w:rsidRPr="00FF5C89">
              <w:rPr>
                <w:rFonts w:ascii="Helvetica" w:hAnsi="Helvetica"/>
                <w:color w:val="231F20"/>
              </w:rPr>
              <w:t>17. We have not borrowed any of the restricted asset balances to fund operational expenses in the last year.</w:t>
            </w:r>
          </w:p>
        </w:tc>
        <w:tc>
          <w:tcPr>
            <w:tcW w:w="959" w:type="dxa"/>
          </w:tcPr>
          <w:p w14:paraId="799EB7A1" w14:textId="77777777" w:rsidR="00BC25A1" w:rsidRPr="00FF5C89" w:rsidRDefault="00BC25A1" w:rsidP="004B4DEF">
            <w:pPr>
              <w:pStyle w:val="TableParagraph"/>
              <w:rPr>
                <w:rFonts w:ascii="Helvetica" w:hAnsi="Helvetica"/>
                <w:sz w:val="20"/>
              </w:rPr>
            </w:pPr>
          </w:p>
        </w:tc>
        <w:tc>
          <w:tcPr>
            <w:tcW w:w="4269" w:type="dxa"/>
            <w:tcBorders>
              <w:right w:val="single" w:sz="8" w:space="0" w:color="231F20"/>
            </w:tcBorders>
          </w:tcPr>
          <w:p w14:paraId="58F787C2" w14:textId="77777777" w:rsidR="00BC25A1" w:rsidRPr="00FF5C89" w:rsidRDefault="00BC25A1" w:rsidP="004B4DEF">
            <w:pPr>
              <w:pStyle w:val="TableParagraph"/>
              <w:rPr>
                <w:rFonts w:ascii="Helvetica" w:hAnsi="Helvetica"/>
                <w:sz w:val="20"/>
              </w:rPr>
            </w:pPr>
          </w:p>
        </w:tc>
      </w:tr>
    </w:tbl>
    <w:p w14:paraId="071750CE" w14:textId="77777777" w:rsidR="00BC25A1" w:rsidRPr="00FF5C89" w:rsidRDefault="00BC25A1">
      <w:pPr>
        <w:pStyle w:val="BodyText"/>
        <w:spacing w:before="49"/>
        <w:ind w:left="108"/>
        <w:rPr>
          <w:rFonts w:ascii="Helvetica" w:hAnsi="Helvetica"/>
          <w:i w:val="0"/>
        </w:rPr>
      </w:pPr>
    </w:p>
    <w:sectPr w:rsidR="00BC25A1" w:rsidRPr="00FF5C89" w:rsidSect="008322F3">
      <w:headerReference w:type="default" r:id="rId11"/>
      <w:footerReference w:type="even" r:id="rId12"/>
      <w:footerReference w:type="default" r:id="rId13"/>
      <w:type w:val="continuous"/>
      <w:pgSz w:w="12240" w:h="15840"/>
      <w:pgMar w:top="1222"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BED7" w14:textId="77777777" w:rsidR="001E6C62" w:rsidRDefault="001E6C62" w:rsidP="00803582">
      <w:r>
        <w:separator/>
      </w:r>
    </w:p>
  </w:endnote>
  <w:endnote w:type="continuationSeparator" w:id="0">
    <w:p w14:paraId="7568E38A" w14:textId="77777777" w:rsidR="001E6C62" w:rsidRDefault="001E6C62"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T">
    <w:altName w:val="Ari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2C010392"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F2D207"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4751" w14:textId="620A3414" w:rsidR="004108B3" w:rsidRDefault="004108B3" w:rsidP="004108B3">
    <w:pPr>
      <w:pStyle w:val="Footer"/>
      <w:ind w:right="-110" w:hanging="180"/>
      <w:jc w:val="center"/>
      <w:rPr>
        <w:rFonts w:ascii="Helvetica" w:eastAsiaTheme="minorHAnsi" w:hAnsi="Helvetica" w:cs="Arial"/>
        <w:sz w:val="14"/>
        <w:szCs w:val="14"/>
      </w:rPr>
    </w:pPr>
    <w:r>
      <w:rPr>
        <w:rFonts w:ascii="Helvetica" w:eastAsiaTheme="minorHAnsi" w:hAnsi="Helvetica" w:cs="Arial"/>
        <w:sz w:val="14"/>
        <w:szCs w:val="14"/>
      </w:rPr>
      <w:t>_______________________________________________________________________________________________________________________________________</w:t>
    </w:r>
  </w:p>
  <w:p w14:paraId="03E456B1" w14:textId="77777777" w:rsidR="008322F3" w:rsidRPr="007A6080" w:rsidRDefault="008322F3" w:rsidP="008322F3">
    <w:pPr>
      <w:pStyle w:val="Footer"/>
      <w:ind w:right="-200" w:hanging="180"/>
      <w:jc w:val="center"/>
      <w:rPr>
        <w:rFonts w:ascii="Helvetica Condensed Medium" w:hAnsi="Helvetica Condensed Medium"/>
        <w:sz w:val="14"/>
        <w:szCs w:val="14"/>
      </w:rPr>
    </w:pP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1</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37E4DD21"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BE553" w14:textId="77777777" w:rsidR="001E6C62" w:rsidRDefault="001E6C62" w:rsidP="00803582">
      <w:r>
        <w:separator/>
      </w:r>
    </w:p>
  </w:footnote>
  <w:footnote w:type="continuationSeparator" w:id="0">
    <w:p w14:paraId="1ABC405D" w14:textId="77777777" w:rsidR="001E6C62" w:rsidRDefault="001E6C62"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69A0" w14:textId="77777777"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6D3F2DB5" wp14:editId="2BC96687">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2287"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BC25A1">
      <w:rPr>
        <w:color w:val="636466"/>
      </w:rPr>
      <w:t>7</w:t>
    </w:r>
    <w:r>
      <w:rPr>
        <w:color w:val="636466"/>
      </w:rPr>
      <w:t xml:space="preserve">: </w:t>
    </w:r>
    <w:r w:rsidR="00BC25A1">
      <w:rPr>
        <w:color w:val="636466"/>
      </w:rPr>
      <w:t>The Board’s Annual Legal Audit</w:t>
    </w:r>
  </w:p>
  <w:p w14:paraId="1991F3A6" w14:textId="77777777" w:rsidR="00BC25A1" w:rsidRDefault="00BC2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A1"/>
    <w:rsid w:val="00024ED0"/>
    <w:rsid w:val="000749DA"/>
    <w:rsid w:val="00097651"/>
    <w:rsid w:val="000D65B0"/>
    <w:rsid w:val="001679E0"/>
    <w:rsid w:val="001E6C62"/>
    <w:rsid w:val="001F2FB7"/>
    <w:rsid w:val="00210CA5"/>
    <w:rsid w:val="003428F1"/>
    <w:rsid w:val="00374EAF"/>
    <w:rsid w:val="004108B3"/>
    <w:rsid w:val="005A5F24"/>
    <w:rsid w:val="00634010"/>
    <w:rsid w:val="006D0E05"/>
    <w:rsid w:val="006F2139"/>
    <w:rsid w:val="00803582"/>
    <w:rsid w:val="008322F3"/>
    <w:rsid w:val="00A453B6"/>
    <w:rsid w:val="00A77B98"/>
    <w:rsid w:val="00AB5FCE"/>
    <w:rsid w:val="00BA36E5"/>
    <w:rsid w:val="00BC25A1"/>
    <w:rsid w:val="00C052E4"/>
    <w:rsid w:val="00CB208B"/>
    <w:rsid w:val="00D44D75"/>
    <w:rsid w:val="00ED7B7F"/>
    <w:rsid w:val="00F41266"/>
    <w:rsid w:val="00FD79C5"/>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8502"/>
  <w15:docId w15:val="{DA84A3A6-06AE-7A49-BE7B-DAF46171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5A1"/>
    <w:rPr>
      <w:rFonts w:ascii="Helvetica LT" w:eastAsia="Helvetica LT" w:hAnsi="Helvetica LT" w:cs="Helvetica LT"/>
    </w:rPr>
  </w:style>
  <w:style w:type="paragraph" w:styleId="Heading1">
    <w:name w:val="heading 1"/>
    <w:basedOn w:val="Normal"/>
    <w:link w:val="Heading1Char"/>
    <w:uiPriority w:val="9"/>
    <w:qFormat/>
    <w:rsid w:val="00BC25A1"/>
    <w:pPr>
      <w:spacing w:before="156"/>
      <w:ind w:left="4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BC25A1"/>
    <w:rPr>
      <w:rFonts w:ascii="Helvetica LT" w:eastAsia="Helvetica LT" w:hAnsi="Helvetica LT" w:cs="Helvetica 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07_Board_Annual_Legal_Audi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6E8F-6FFD-0540-A1C2-57F8269B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Template_aB.dotx</Template>
  <TotalTime>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6</cp:revision>
  <dcterms:created xsi:type="dcterms:W3CDTF">2019-09-06T15:30:00Z</dcterms:created>
  <dcterms:modified xsi:type="dcterms:W3CDTF">2019-09-11T21:22:00Z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