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D0BDC" w14:textId="6EBC9CB6" w:rsidR="006C7F17" w:rsidRPr="00124075" w:rsidRDefault="009F252B" w:rsidP="0095250C">
      <w:pPr>
        <w:tabs>
          <w:tab w:val="left" w:pos="10170"/>
        </w:tabs>
        <w:spacing w:before="146"/>
        <w:ind w:left="120"/>
        <w:rPr>
          <w:b/>
          <w:sz w:val="28"/>
          <w:szCs w:val="28"/>
        </w:rPr>
      </w:pPr>
      <w:bookmarkStart w:id="0" w:name="_GoBack"/>
      <w:r>
        <w:rPr>
          <w:noProof/>
          <w:sz w:val="24"/>
        </w:rPr>
        <w:drawing>
          <wp:anchor distT="0" distB="0" distL="114300" distR="114300" simplePos="0" relativeHeight="251662336" behindDoc="1" locked="0" layoutInCell="1" allowOverlap="1" wp14:anchorId="564C7323" wp14:editId="0514C06D">
            <wp:simplePos x="0" y="0"/>
            <wp:positionH relativeFrom="column">
              <wp:posOffset>5596569</wp:posOffset>
            </wp:positionH>
            <wp:positionV relativeFrom="paragraph">
              <wp:posOffset>-104661</wp:posOffset>
            </wp:positionV>
            <wp:extent cx="1162050" cy="228600"/>
            <wp:effectExtent l="0" t="0" r="635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162050" cy="228600"/>
                    </a:xfrm>
                    <a:prstGeom prst="rect">
                      <a:avLst/>
                    </a:prstGeom>
                  </pic:spPr>
                </pic:pic>
              </a:graphicData>
            </a:graphic>
            <wp14:sizeRelH relativeFrom="margin">
              <wp14:pctWidth>0</wp14:pctWidth>
            </wp14:sizeRelH>
            <wp14:sizeRelV relativeFrom="margin">
              <wp14:pctHeight>0</wp14:pctHeight>
            </wp14:sizeRelV>
          </wp:anchor>
        </w:drawing>
      </w:r>
      <w:bookmarkEnd w:id="0"/>
      <w:r w:rsidR="006C7F17" w:rsidRPr="00124075">
        <w:rPr>
          <w:noProof/>
          <w:sz w:val="28"/>
          <w:szCs w:val="28"/>
        </w:rPr>
        <w:drawing>
          <wp:anchor distT="0" distB="0" distL="0" distR="0" simplePos="0" relativeHeight="251660288" behindDoc="0" locked="0" layoutInCell="1" allowOverlap="1" wp14:anchorId="03A4658B" wp14:editId="54D835E6">
            <wp:simplePos x="0" y="0"/>
            <wp:positionH relativeFrom="page">
              <wp:posOffset>941908</wp:posOffset>
            </wp:positionH>
            <wp:positionV relativeFrom="paragraph">
              <wp:posOffset>534454</wp:posOffset>
            </wp:positionV>
            <wp:extent cx="1567637" cy="91676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567637" cy="916762"/>
                    </a:xfrm>
                    <a:prstGeom prst="rect">
                      <a:avLst/>
                    </a:prstGeom>
                  </pic:spPr>
                </pic:pic>
              </a:graphicData>
            </a:graphic>
          </wp:anchor>
        </w:drawing>
      </w:r>
      <w:r w:rsidR="006C7F17" w:rsidRPr="00124075">
        <w:rPr>
          <w:b/>
          <w:color w:val="FFFFFF"/>
          <w:sz w:val="28"/>
          <w:szCs w:val="28"/>
          <w:shd w:val="clear" w:color="auto" w:fill="325A8B"/>
        </w:rPr>
        <w:t xml:space="preserve"> </w:t>
      </w:r>
      <w:r w:rsidR="006C7F17" w:rsidRPr="00124075">
        <w:rPr>
          <w:b/>
          <w:color w:val="FFFFFF"/>
          <w:spacing w:val="1"/>
          <w:sz w:val="28"/>
          <w:szCs w:val="28"/>
          <w:shd w:val="clear" w:color="auto" w:fill="325A8B"/>
        </w:rPr>
        <w:t xml:space="preserve"> </w:t>
      </w:r>
      <w:r w:rsidR="006C7F17" w:rsidRPr="00124075">
        <w:rPr>
          <w:b/>
          <w:color w:val="FFFFFF"/>
          <w:sz w:val="28"/>
          <w:szCs w:val="28"/>
          <w:shd w:val="clear" w:color="auto" w:fill="325A8B"/>
        </w:rPr>
        <w:t xml:space="preserve">The </w:t>
      </w:r>
      <w:r w:rsidR="006C7F17" w:rsidRPr="00124075">
        <w:rPr>
          <w:b/>
          <w:color w:val="FFFFFF"/>
          <w:spacing w:val="-3"/>
          <w:sz w:val="28"/>
          <w:szCs w:val="28"/>
          <w:shd w:val="clear" w:color="auto" w:fill="325A8B"/>
        </w:rPr>
        <w:t xml:space="preserve">Board’s </w:t>
      </w:r>
      <w:r w:rsidR="006C7F17" w:rsidRPr="00124075">
        <w:rPr>
          <w:b/>
          <w:color w:val="FFFFFF"/>
          <w:sz w:val="28"/>
          <w:szCs w:val="28"/>
          <w:shd w:val="clear" w:color="auto" w:fill="325A8B"/>
        </w:rPr>
        <w:t>Annual Financial Management</w:t>
      </w:r>
      <w:r w:rsidR="006C7F17" w:rsidRPr="00124075">
        <w:rPr>
          <w:b/>
          <w:color w:val="FFFFFF"/>
          <w:spacing w:val="-6"/>
          <w:sz w:val="28"/>
          <w:szCs w:val="28"/>
          <w:shd w:val="clear" w:color="auto" w:fill="325A8B"/>
        </w:rPr>
        <w:t xml:space="preserve"> </w:t>
      </w:r>
      <w:r w:rsidR="006C7F17" w:rsidRPr="00124075">
        <w:rPr>
          <w:b/>
          <w:color w:val="FFFFFF"/>
          <w:sz w:val="28"/>
          <w:szCs w:val="28"/>
          <w:shd w:val="clear" w:color="auto" w:fill="325A8B"/>
        </w:rPr>
        <w:t>Audit</w:t>
      </w:r>
      <w:r>
        <w:rPr>
          <w:b/>
          <w:color w:val="FFFFFF"/>
          <w:sz w:val="28"/>
          <w:szCs w:val="28"/>
          <w:shd w:val="clear" w:color="auto" w:fill="325A8B"/>
        </w:rPr>
        <w:t xml:space="preserve">  </w:t>
      </w:r>
    </w:p>
    <w:p w14:paraId="656CA12E" w14:textId="77777777" w:rsidR="006C7F17" w:rsidRDefault="006C7F17" w:rsidP="006C7F17">
      <w:pPr>
        <w:pStyle w:val="BodyText"/>
        <w:rPr>
          <w:b/>
          <w:sz w:val="38"/>
        </w:rPr>
      </w:pPr>
    </w:p>
    <w:p w14:paraId="562663F7" w14:textId="77777777" w:rsidR="00B80455" w:rsidRDefault="00B80455" w:rsidP="00B80455">
      <w:pPr>
        <w:spacing w:line="232" w:lineRule="auto"/>
        <w:ind w:left="3510" w:right="-22"/>
        <w:rPr>
          <w:b/>
          <w:color w:val="231F20"/>
          <w:sz w:val="28"/>
        </w:rPr>
      </w:pPr>
    </w:p>
    <w:p w14:paraId="5638C468" w14:textId="2D489FC7" w:rsidR="006C7F17" w:rsidRDefault="006C7F17" w:rsidP="00B80455">
      <w:pPr>
        <w:spacing w:line="232" w:lineRule="auto"/>
        <w:ind w:left="3510" w:right="-22"/>
        <w:rPr>
          <w:b/>
          <w:sz w:val="28"/>
        </w:rPr>
      </w:pPr>
      <w:r>
        <w:rPr>
          <w:b/>
          <w:color w:val="231F20"/>
          <w:sz w:val="28"/>
        </w:rPr>
        <w:t>20 Statements the Board Must Address Annually</w:t>
      </w:r>
    </w:p>
    <w:p w14:paraId="5AD3B6A7" w14:textId="77777777" w:rsidR="006C7F17" w:rsidRDefault="006C7F17" w:rsidP="006C7F17">
      <w:pPr>
        <w:pStyle w:val="BodyText"/>
        <w:rPr>
          <w:b/>
          <w:sz w:val="32"/>
        </w:rPr>
      </w:pPr>
    </w:p>
    <w:p w14:paraId="075E512E" w14:textId="77777777" w:rsidR="009F252B" w:rsidRDefault="009F252B" w:rsidP="00124075"/>
    <w:p w14:paraId="3F7046DC" w14:textId="77777777" w:rsidR="00B80455" w:rsidRDefault="00B80455" w:rsidP="00124075"/>
    <w:p w14:paraId="7E4A77F0" w14:textId="19D5F04C" w:rsidR="006C7F17" w:rsidRDefault="006C7F17" w:rsidP="00124075">
      <w:r>
        <w:t>Your board should expect clarity and honesty from the CEO, the CFO, staff, and the board’s finance committee. To provide clarity—so board members understand financial reports and financial trends— the information should be presented with a variety of approaches (for the diverse learning styles of your board members) and can include verbal and written reports, dashboards, and graphs. But there’s another important step—an annual checklist.</w:t>
      </w:r>
    </w:p>
    <w:p w14:paraId="09E83936" w14:textId="77777777" w:rsidR="006C7F17" w:rsidRDefault="006C7F17" w:rsidP="006C7F17">
      <w:pPr>
        <w:pStyle w:val="BodyText"/>
      </w:pPr>
    </w:p>
    <w:p w14:paraId="2CE78C62" w14:textId="77777777" w:rsidR="006C7F17" w:rsidRDefault="006C7F17" w:rsidP="00124075">
      <w:r>
        <w:rPr>
          <w:b/>
        </w:rPr>
        <w:t xml:space="preserve">TRUE OR FALSE? </w:t>
      </w:r>
      <w:r>
        <w:t>Here are 20 statements that can be adapted for your ministry. Ask your CFO to provide the answers for the question, “How does the board know?” Ultimately, of course, for the board to have faith and trust in the accuracy and veracity of the answers to these statements—the board will be dependent on the honesty and integrity of the CEO and the staff.</w:t>
      </w:r>
    </w:p>
    <w:p w14:paraId="4A01552E" w14:textId="77777777" w:rsidR="006C7F17" w:rsidRDefault="006C7F17" w:rsidP="006C7F17">
      <w:pPr>
        <w:pStyle w:val="BodyText"/>
      </w:pPr>
    </w:p>
    <w:p w14:paraId="7B9207E0" w14:textId="3E0F1C33" w:rsidR="00A453B6" w:rsidRDefault="006C7F17" w:rsidP="00124075">
      <w:pPr>
        <w:rPr>
          <w:i/>
        </w:rPr>
      </w:pPr>
      <w:r>
        <w:t xml:space="preserve">Adapt these statements for your ministry—and review the answers at least annually. </w:t>
      </w:r>
      <w:r w:rsidR="0095250C">
        <w:br/>
      </w:r>
    </w:p>
    <w:tbl>
      <w:tblPr>
        <w:tblW w:w="0" w:type="auto"/>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4983"/>
        <w:gridCol w:w="867"/>
        <w:gridCol w:w="4180"/>
      </w:tblGrid>
      <w:tr w:rsidR="0095250C" w14:paraId="66EA7238" w14:textId="77777777" w:rsidTr="006A1716">
        <w:trPr>
          <w:trHeight w:val="414"/>
        </w:trPr>
        <w:tc>
          <w:tcPr>
            <w:tcW w:w="4983" w:type="dxa"/>
            <w:shd w:val="clear" w:color="auto" w:fill="EBEBEC"/>
            <w:vAlign w:val="center"/>
          </w:tcPr>
          <w:p w14:paraId="61BBF57B" w14:textId="77777777" w:rsidR="0095250C" w:rsidRDefault="0095250C" w:rsidP="006A1716">
            <w:pPr>
              <w:pStyle w:val="TableParagraph"/>
              <w:ind w:left="978" w:right="942"/>
              <w:jc w:val="center"/>
              <w:rPr>
                <w:b/>
              </w:rPr>
            </w:pPr>
            <w:r>
              <w:rPr>
                <w:b/>
                <w:color w:val="231F20"/>
              </w:rPr>
              <w:t>The Board’s Annual</w:t>
            </w:r>
          </w:p>
          <w:p w14:paraId="02C54987" w14:textId="77777777" w:rsidR="0095250C" w:rsidRDefault="0095250C" w:rsidP="006A1716">
            <w:pPr>
              <w:pStyle w:val="TableParagraph"/>
              <w:ind w:left="978" w:right="958"/>
              <w:jc w:val="center"/>
              <w:rPr>
                <w:b/>
              </w:rPr>
            </w:pPr>
            <w:r>
              <w:rPr>
                <w:b/>
                <w:color w:val="231F20"/>
              </w:rPr>
              <w:t>Financial Management Audit</w:t>
            </w:r>
          </w:p>
        </w:tc>
        <w:tc>
          <w:tcPr>
            <w:tcW w:w="867" w:type="dxa"/>
            <w:shd w:val="clear" w:color="auto" w:fill="EBEBEC"/>
            <w:vAlign w:val="center"/>
          </w:tcPr>
          <w:p w14:paraId="65A26B59" w14:textId="77777777" w:rsidR="0095250C" w:rsidRDefault="0095250C" w:rsidP="006A1716">
            <w:pPr>
              <w:pStyle w:val="TableParagraph"/>
              <w:ind w:left="10" w:firstLine="16"/>
              <w:jc w:val="center"/>
              <w:rPr>
                <w:b/>
                <w:sz w:val="20"/>
              </w:rPr>
            </w:pPr>
            <w:r>
              <w:rPr>
                <w:b/>
                <w:color w:val="231F20"/>
                <w:sz w:val="20"/>
              </w:rPr>
              <w:t>True/ False</w:t>
            </w:r>
          </w:p>
        </w:tc>
        <w:tc>
          <w:tcPr>
            <w:tcW w:w="4180" w:type="dxa"/>
            <w:shd w:val="clear" w:color="auto" w:fill="EBEBEC"/>
            <w:vAlign w:val="center"/>
          </w:tcPr>
          <w:p w14:paraId="22FD3517" w14:textId="77777777" w:rsidR="0095250C" w:rsidRDefault="0095250C" w:rsidP="006A1716">
            <w:pPr>
              <w:pStyle w:val="TableParagraph"/>
              <w:ind w:left="792"/>
              <w:jc w:val="center"/>
              <w:rPr>
                <w:b/>
                <w:sz w:val="20"/>
              </w:rPr>
            </w:pPr>
            <w:r>
              <w:rPr>
                <w:b/>
                <w:color w:val="231F20"/>
                <w:sz w:val="20"/>
              </w:rPr>
              <w:t>How does the board know?</w:t>
            </w:r>
          </w:p>
        </w:tc>
      </w:tr>
      <w:tr w:rsidR="0095250C" w14:paraId="21B1D5AF" w14:textId="77777777" w:rsidTr="006A1716">
        <w:trPr>
          <w:trHeight w:val="733"/>
        </w:trPr>
        <w:tc>
          <w:tcPr>
            <w:tcW w:w="4983" w:type="dxa"/>
            <w:vAlign w:val="center"/>
          </w:tcPr>
          <w:p w14:paraId="4B2CB765" w14:textId="77777777" w:rsidR="0095250C" w:rsidRDefault="0095250C" w:rsidP="0095250C">
            <w:pPr>
              <w:pStyle w:val="TableParagraph"/>
              <w:spacing w:before="40" w:after="40"/>
              <w:ind w:left="457" w:hanging="274"/>
            </w:pPr>
            <w:r>
              <w:rPr>
                <w:color w:val="231F20"/>
              </w:rPr>
              <w:t>1. Our board receives timely, relevant, and accurate financial information that is readily understood by the board.</w:t>
            </w:r>
          </w:p>
        </w:tc>
        <w:tc>
          <w:tcPr>
            <w:tcW w:w="867" w:type="dxa"/>
            <w:vAlign w:val="center"/>
          </w:tcPr>
          <w:p w14:paraId="0D846A7F" w14:textId="77777777" w:rsidR="0095250C" w:rsidRDefault="0095250C" w:rsidP="006A1716">
            <w:pPr>
              <w:pStyle w:val="TableParagraph"/>
              <w:ind w:left="10"/>
              <w:jc w:val="center"/>
              <w:rPr>
                <w:rFonts w:ascii="Times New Roman"/>
                <w:sz w:val="20"/>
              </w:rPr>
            </w:pPr>
          </w:p>
        </w:tc>
        <w:tc>
          <w:tcPr>
            <w:tcW w:w="4180" w:type="dxa"/>
            <w:vAlign w:val="center"/>
          </w:tcPr>
          <w:p w14:paraId="2BF64495" w14:textId="77777777" w:rsidR="0095250C" w:rsidRDefault="0095250C" w:rsidP="006A1716">
            <w:pPr>
              <w:pStyle w:val="TableParagraph"/>
              <w:ind w:left="168"/>
              <w:rPr>
                <w:rFonts w:ascii="Times New Roman"/>
                <w:sz w:val="20"/>
              </w:rPr>
            </w:pPr>
          </w:p>
        </w:tc>
      </w:tr>
      <w:tr w:rsidR="0095250C" w14:paraId="706E99A6" w14:textId="77777777" w:rsidTr="006A1716">
        <w:trPr>
          <w:trHeight w:val="748"/>
        </w:trPr>
        <w:tc>
          <w:tcPr>
            <w:tcW w:w="4983" w:type="dxa"/>
            <w:vAlign w:val="center"/>
          </w:tcPr>
          <w:p w14:paraId="3E5F4DFA" w14:textId="77777777" w:rsidR="0095250C" w:rsidRDefault="0095250C" w:rsidP="0095250C">
            <w:pPr>
              <w:pStyle w:val="TableParagraph"/>
              <w:spacing w:before="40" w:after="40"/>
              <w:ind w:left="457" w:right="706" w:hanging="274"/>
            </w:pPr>
            <w:r>
              <w:rPr>
                <w:color w:val="231F20"/>
              </w:rPr>
              <w:t>2. Our board has assessed the ministry’s financial health within the last year and appropriately addressed any concerns.</w:t>
            </w:r>
          </w:p>
        </w:tc>
        <w:tc>
          <w:tcPr>
            <w:tcW w:w="867" w:type="dxa"/>
            <w:vAlign w:val="center"/>
          </w:tcPr>
          <w:p w14:paraId="693F3A86" w14:textId="77777777" w:rsidR="0095250C" w:rsidRDefault="0095250C" w:rsidP="006A1716">
            <w:pPr>
              <w:pStyle w:val="TableParagraph"/>
              <w:ind w:left="10"/>
              <w:jc w:val="center"/>
              <w:rPr>
                <w:rFonts w:ascii="Times New Roman"/>
                <w:sz w:val="20"/>
              </w:rPr>
            </w:pPr>
          </w:p>
        </w:tc>
        <w:tc>
          <w:tcPr>
            <w:tcW w:w="4180" w:type="dxa"/>
            <w:vAlign w:val="center"/>
          </w:tcPr>
          <w:p w14:paraId="39B50431" w14:textId="77777777" w:rsidR="0095250C" w:rsidRDefault="0095250C" w:rsidP="006A1716">
            <w:pPr>
              <w:pStyle w:val="TableParagraph"/>
              <w:ind w:left="168"/>
              <w:rPr>
                <w:rFonts w:ascii="Times New Roman"/>
                <w:sz w:val="20"/>
              </w:rPr>
            </w:pPr>
          </w:p>
        </w:tc>
      </w:tr>
      <w:tr w:rsidR="0095250C" w14:paraId="0DD4BE55" w14:textId="77777777" w:rsidTr="006A1716">
        <w:trPr>
          <w:trHeight w:val="705"/>
        </w:trPr>
        <w:tc>
          <w:tcPr>
            <w:tcW w:w="4983" w:type="dxa"/>
            <w:vAlign w:val="center"/>
          </w:tcPr>
          <w:p w14:paraId="5E096AF1" w14:textId="77777777" w:rsidR="0095250C" w:rsidRDefault="0095250C" w:rsidP="0095250C">
            <w:pPr>
              <w:pStyle w:val="TableParagraph"/>
              <w:spacing w:before="40" w:after="40"/>
              <w:ind w:left="457" w:hanging="274"/>
            </w:pPr>
            <w:r>
              <w:rPr>
                <w:color w:val="231F20"/>
              </w:rPr>
              <w:t>3. We orient new board members on how to interpret the ministry’s periodic financial statements and board-approved benchmarks.</w:t>
            </w:r>
          </w:p>
        </w:tc>
        <w:tc>
          <w:tcPr>
            <w:tcW w:w="867" w:type="dxa"/>
            <w:vAlign w:val="center"/>
          </w:tcPr>
          <w:p w14:paraId="2A588049" w14:textId="77777777" w:rsidR="0095250C" w:rsidRDefault="0095250C" w:rsidP="006A1716">
            <w:pPr>
              <w:pStyle w:val="TableParagraph"/>
              <w:ind w:left="10"/>
              <w:jc w:val="center"/>
              <w:rPr>
                <w:rFonts w:ascii="Times New Roman"/>
                <w:sz w:val="20"/>
              </w:rPr>
            </w:pPr>
          </w:p>
        </w:tc>
        <w:tc>
          <w:tcPr>
            <w:tcW w:w="4180" w:type="dxa"/>
            <w:vAlign w:val="center"/>
          </w:tcPr>
          <w:p w14:paraId="203E371B" w14:textId="77777777" w:rsidR="0095250C" w:rsidRDefault="0095250C" w:rsidP="006A1716">
            <w:pPr>
              <w:pStyle w:val="TableParagraph"/>
              <w:ind w:left="168"/>
              <w:rPr>
                <w:rFonts w:ascii="Times New Roman"/>
                <w:sz w:val="20"/>
              </w:rPr>
            </w:pPr>
          </w:p>
        </w:tc>
      </w:tr>
      <w:tr w:rsidR="0095250C" w14:paraId="5E46212C" w14:textId="77777777" w:rsidTr="006A1716">
        <w:trPr>
          <w:trHeight w:val="1624"/>
        </w:trPr>
        <w:tc>
          <w:tcPr>
            <w:tcW w:w="4983" w:type="dxa"/>
            <w:vAlign w:val="center"/>
          </w:tcPr>
          <w:p w14:paraId="35968D35" w14:textId="77777777" w:rsidR="0095250C" w:rsidRDefault="0095250C" w:rsidP="0095250C">
            <w:pPr>
              <w:pStyle w:val="TableParagraph"/>
              <w:numPr>
                <w:ilvl w:val="0"/>
                <w:numId w:val="2"/>
              </w:numPr>
              <w:tabs>
                <w:tab w:val="left" w:pos="458"/>
              </w:tabs>
              <w:spacing w:before="40" w:after="40"/>
              <w:ind w:right="413" w:hanging="274"/>
            </w:pPr>
            <w:r>
              <w:rPr>
                <w:color w:val="231F20"/>
              </w:rPr>
              <w:t xml:space="preserve">Cash reserves compare </w:t>
            </w:r>
            <w:r>
              <w:rPr>
                <w:color w:val="231F20"/>
                <w:spacing w:val="-3"/>
              </w:rPr>
              <w:t xml:space="preserve">favorably </w:t>
            </w:r>
            <w:r>
              <w:rPr>
                <w:color w:val="231F20"/>
              </w:rPr>
              <w:t>with the ministry’s goal</w:t>
            </w:r>
            <w:r>
              <w:rPr>
                <w:color w:val="231F20"/>
                <w:spacing w:val="-1"/>
              </w:rPr>
              <w:t xml:space="preserve"> </w:t>
            </w:r>
            <w:r>
              <w:rPr>
                <w:color w:val="231F20"/>
              </w:rPr>
              <w:t>for:</w:t>
            </w:r>
          </w:p>
          <w:p w14:paraId="6BB40B49" w14:textId="77777777" w:rsidR="0095250C" w:rsidRDefault="0095250C" w:rsidP="0095250C">
            <w:pPr>
              <w:pStyle w:val="TableParagraph"/>
              <w:numPr>
                <w:ilvl w:val="1"/>
                <w:numId w:val="2"/>
              </w:numPr>
              <w:tabs>
                <w:tab w:val="left" w:pos="832"/>
              </w:tabs>
              <w:spacing w:before="40" w:after="40"/>
              <w:ind w:hanging="274"/>
            </w:pPr>
            <w:r>
              <w:rPr>
                <w:color w:val="231F20"/>
              </w:rPr>
              <w:t>Operations</w:t>
            </w:r>
          </w:p>
          <w:p w14:paraId="7521D1F9" w14:textId="77777777" w:rsidR="0095250C" w:rsidRDefault="0095250C" w:rsidP="0095250C">
            <w:pPr>
              <w:pStyle w:val="TableParagraph"/>
              <w:numPr>
                <w:ilvl w:val="1"/>
                <w:numId w:val="2"/>
              </w:numPr>
              <w:tabs>
                <w:tab w:val="left" w:pos="832"/>
              </w:tabs>
              <w:spacing w:before="40" w:after="40"/>
              <w:ind w:hanging="274"/>
            </w:pPr>
            <w:r>
              <w:rPr>
                <w:color w:val="231F20"/>
              </w:rPr>
              <w:t>Donor-restricted net assets</w:t>
            </w:r>
          </w:p>
          <w:p w14:paraId="2D81315F" w14:textId="77777777" w:rsidR="0095250C" w:rsidRDefault="0095250C" w:rsidP="0095250C">
            <w:pPr>
              <w:pStyle w:val="TableParagraph"/>
              <w:numPr>
                <w:ilvl w:val="1"/>
                <w:numId w:val="2"/>
              </w:numPr>
              <w:tabs>
                <w:tab w:val="left" w:pos="832"/>
              </w:tabs>
              <w:spacing w:before="40" w:after="40"/>
              <w:ind w:hanging="274"/>
            </w:pPr>
            <w:r>
              <w:rPr>
                <w:color w:val="231F20"/>
              </w:rPr>
              <w:t>Mortgage</w:t>
            </w:r>
            <w:r>
              <w:rPr>
                <w:color w:val="231F20"/>
                <w:spacing w:val="-1"/>
              </w:rPr>
              <w:t xml:space="preserve"> </w:t>
            </w:r>
            <w:r>
              <w:rPr>
                <w:color w:val="231F20"/>
              </w:rPr>
              <w:t>covenants</w:t>
            </w:r>
          </w:p>
          <w:p w14:paraId="504FE35A" w14:textId="77777777" w:rsidR="0095250C" w:rsidRDefault="0095250C" w:rsidP="0095250C">
            <w:pPr>
              <w:pStyle w:val="TableParagraph"/>
              <w:numPr>
                <w:ilvl w:val="1"/>
                <w:numId w:val="2"/>
              </w:numPr>
              <w:tabs>
                <w:tab w:val="left" w:pos="832"/>
              </w:tabs>
              <w:spacing w:before="40" w:after="40"/>
              <w:ind w:hanging="274"/>
            </w:pPr>
            <w:r>
              <w:rPr>
                <w:color w:val="231F20"/>
              </w:rPr>
              <w:t>Capital needs</w:t>
            </w:r>
          </w:p>
          <w:p w14:paraId="23D1C55F" w14:textId="77777777" w:rsidR="0095250C" w:rsidRDefault="0095250C" w:rsidP="0095250C">
            <w:pPr>
              <w:pStyle w:val="TableParagraph"/>
              <w:numPr>
                <w:ilvl w:val="1"/>
                <w:numId w:val="2"/>
              </w:numPr>
              <w:tabs>
                <w:tab w:val="left" w:pos="832"/>
              </w:tabs>
              <w:spacing w:before="40" w:after="40"/>
              <w:ind w:hanging="274"/>
            </w:pPr>
            <w:r>
              <w:rPr>
                <w:color w:val="231F20"/>
              </w:rPr>
              <w:t>Other ministry expansion</w:t>
            </w:r>
            <w:r>
              <w:rPr>
                <w:color w:val="231F20"/>
                <w:spacing w:val="1"/>
              </w:rPr>
              <w:t xml:space="preserve"> </w:t>
            </w:r>
            <w:r>
              <w:rPr>
                <w:color w:val="231F20"/>
              </w:rPr>
              <w:t>opportunities</w:t>
            </w:r>
          </w:p>
        </w:tc>
        <w:tc>
          <w:tcPr>
            <w:tcW w:w="867" w:type="dxa"/>
            <w:vAlign w:val="center"/>
          </w:tcPr>
          <w:p w14:paraId="418D808A" w14:textId="77777777" w:rsidR="0095250C" w:rsidRDefault="0095250C" w:rsidP="006A1716">
            <w:pPr>
              <w:pStyle w:val="TableParagraph"/>
              <w:ind w:left="10"/>
              <w:jc w:val="center"/>
              <w:rPr>
                <w:rFonts w:ascii="Times New Roman"/>
                <w:sz w:val="20"/>
              </w:rPr>
            </w:pPr>
          </w:p>
        </w:tc>
        <w:tc>
          <w:tcPr>
            <w:tcW w:w="4180" w:type="dxa"/>
            <w:vAlign w:val="center"/>
          </w:tcPr>
          <w:p w14:paraId="6C88FC5B" w14:textId="77777777" w:rsidR="0095250C" w:rsidRDefault="0095250C" w:rsidP="006A1716">
            <w:pPr>
              <w:pStyle w:val="TableParagraph"/>
              <w:ind w:left="168"/>
              <w:rPr>
                <w:rFonts w:ascii="Times New Roman"/>
                <w:sz w:val="20"/>
              </w:rPr>
            </w:pPr>
          </w:p>
        </w:tc>
      </w:tr>
      <w:tr w:rsidR="0095250C" w14:paraId="4BB3003A" w14:textId="77777777" w:rsidTr="006A1716">
        <w:trPr>
          <w:trHeight w:val="288"/>
        </w:trPr>
        <w:tc>
          <w:tcPr>
            <w:tcW w:w="4983" w:type="dxa"/>
            <w:vAlign w:val="center"/>
          </w:tcPr>
          <w:p w14:paraId="43738766" w14:textId="77777777" w:rsidR="0095250C" w:rsidRDefault="0095250C" w:rsidP="0095250C">
            <w:pPr>
              <w:pStyle w:val="TableParagraph"/>
              <w:spacing w:before="40" w:after="40"/>
              <w:ind w:left="457" w:right="913" w:hanging="274"/>
            </w:pPr>
            <w:r>
              <w:rPr>
                <w:color w:val="231F20"/>
              </w:rPr>
              <w:t>5. Our significant revenue elements are increasing.</w:t>
            </w:r>
          </w:p>
        </w:tc>
        <w:tc>
          <w:tcPr>
            <w:tcW w:w="867" w:type="dxa"/>
            <w:vAlign w:val="center"/>
          </w:tcPr>
          <w:p w14:paraId="421E3BE8" w14:textId="77777777" w:rsidR="0095250C" w:rsidRDefault="0095250C" w:rsidP="006A1716">
            <w:pPr>
              <w:pStyle w:val="TableParagraph"/>
              <w:ind w:left="10"/>
              <w:jc w:val="center"/>
              <w:rPr>
                <w:rFonts w:ascii="Times New Roman"/>
                <w:sz w:val="20"/>
              </w:rPr>
            </w:pPr>
          </w:p>
        </w:tc>
        <w:tc>
          <w:tcPr>
            <w:tcW w:w="4180" w:type="dxa"/>
            <w:vAlign w:val="center"/>
          </w:tcPr>
          <w:p w14:paraId="1CED03AF" w14:textId="77777777" w:rsidR="0095250C" w:rsidRDefault="0095250C" w:rsidP="006A1716">
            <w:pPr>
              <w:pStyle w:val="TableParagraph"/>
              <w:ind w:left="168"/>
              <w:rPr>
                <w:rFonts w:ascii="Times New Roman"/>
                <w:sz w:val="20"/>
              </w:rPr>
            </w:pPr>
          </w:p>
        </w:tc>
      </w:tr>
      <w:tr w:rsidR="0095250C" w14:paraId="6230F07E" w14:textId="77777777" w:rsidTr="006A1716">
        <w:trPr>
          <w:trHeight w:val="288"/>
        </w:trPr>
        <w:tc>
          <w:tcPr>
            <w:tcW w:w="4983" w:type="dxa"/>
            <w:tcBorders>
              <w:bottom w:val="single" w:sz="8" w:space="0" w:color="BCBEC0"/>
            </w:tcBorders>
            <w:vAlign w:val="center"/>
          </w:tcPr>
          <w:p w14:paraId="2D1C9EFE" w14:textId="77777777" w:rsidR="0095250C" w:rsidRDefault="0095250C" w:rsidP="0095250C">
            <w:pPr>
              <w:pStyle w:val="TableParagraph"/>
              <w:spacing w:before="40" w:after="40"/>
              <w:ind w:left="461" w:right="668" w:hanging="274"/>
            </w:pPr>
            <w:r>
              <w:rPr>
                <w:color w:val="231F20"/>
              </w:rPr>
              <w:t>6. The average size of our contributions is increasing across all gift size ranges.</w:t>
            </w:r>
          </w:p>
        </w:tc>
        <w:tc>
          <w:tcPr>
            <w:tcW w:w="867" w:type="dxa"/>
            <w:tcBorders>
              <w:bottom w:val="single" w:sz="8" w:space="0" w:color="BCBEC0"/>
            </w:tcBorders>
            <w:vAlign w:val="center"/>
          </w:tcPr>
          <w:p w14:paraId="3E0C3BA8" w14:textId="77777777" w:rsidR="0095250C" w:rsidRDefault="0095250C" w:rsidP="006A1716">
            <w:pPr>
              <w:pStyle w:val="TableParagraph"/>
              <w:ind w:left="10"/>
              <w:jc w:val="center"/>
              <w:rPr>
                <w:rFonts w:ascii="Times New Roman"/>
                <w:sz w:val="20"/>
              </w:rPr>
            </w:pPr>
          </w:p>
        </w:tc>
        <w:tc>
          <w:tcPr>
            <w:tcW w:w="4180" w:type="dxa"/>
            <w:tcBorders>
              <w:bottom w:val="single" w:sz="8" w:space="0" w:color="BCBEC0"/>
            </w:tcBorders>
            <w:vAlign w:val="center"/>
          </w:tcPr>
          <w:p w14:paraId="76597D83" w14:textId="77777777" w:rsidR="0095250C" w:rsidRDefault="0095250C" w:rsidP="006A1716">
            <w:pPr>
              <w:pStyle w:val="TableParagraph"/>
              <w:ind w:left="168"/>
              <w:rPr>
                <w:rFonts w:ascii="Times New Roman"/>
                <w:sz w:val="20"/>
              </w:rPr>
            </w:pPr>
          </w:p>
        </w:tc>
      </w:tr>
      <w:tr w:rsidR="0095250C" w14:paraId="360E80FD" w14:textId="77777777" w:rsidTr="006A1716">
        <w:trPr>
          <w:trHeight w:val="288"/>
        </w:trPr>
        <w:tc>
          <w:tcPr>
            <w:tcW w:w="4983" w:type="dxa"/>
            <w:tcBorders>
              <w:bottom w:val="single" w:sz="4" w:space="0" w:color="auto"/>
            </w:tcBorders>
            <w:vAlign w:val="center"/>
          </w:tcPr>
          <w:p w14:paraId="0A86ECD1" w14:textId="77777777" w:rsidR="0095250C" w:rsidRDefault="0095250C" w:rsidP="0095250C">
            <w:pPr>
              <w:pStyle w:val="TableParagraph"/>
              <w:spacing w:before="40" w:after="40"/>
              <w:ind w:left="461" w:hanging="274"/>
            </w:pPr>
            <w:r>
              <w:rPr>
                <w:color w:val="231F20"/>
              </w:rPr>
              <w:t>7. The number of regular contributors is increasing.</w:t>
            </w:r>
          </w:p>
        </w:tc>
        <w:tc>
          <w:tcPr>
            <w:tcW w:w="867" w:type="dxa"/>
            <w:tcBorders>
              <w:bottom w:val="single" w:sz="4" w:space="0" w:color="auto"/>
            </w:tcBorders>
            <w:vAlign w:val="center"/>
          </w:tcPr>
          <w:p w14:paraId="7537B5A3" w14:textId="77777777" w:rsidR="0095250C" w:rsidRDefault="0095250C" w:rsidP="006A1716">
            <w:pPr>
              <w:pStyle w:val="TableParagraph"/>
              <w:ind w:left="10"/>
              <w:jc w:val="center"/>
              <w:rPr>
                <w:rFonts w:ascii="Times New Roman"/>
                <w:sz w:val="20"/>
              </w:rPr>
            </w:pPr>
          </w:p>
        </w:tc>
        <w:tc>
          <w:tcPr>
            <w:tcW w:w="4180" w:type="dxa"/>
            <w:tcBorders>
              <w:bottom w:val="single" w:sz="4" w:space="0" w:color="auto"/>
            </w:tcBorders>
            <w:vAlign w:val="center"/>
          </w:tcPr>
          <w:p w14:paraId="75401264" w14:textId="77777777" w:rsidR="0095250C" w:rsidRDefault="0095250C" w:rsidP="006A1716">
            <w:pPr>
              <w:pStyle w:val="TableParagraph"/>
              <w:ind w:left="168"/>
              <w:rPr>
                <w:rFonts w:ascii="Times New Roman"/>
                <w:sz w:val="20"/>
              </w:rPr>
            </w:pPr>
          </w:p>
        </w:tc>
      </w:tr>
    </w:tbl>
    <w:p w14:paraId="69E6605E" w14:textId="77777777" w:rsidR="006C7F17" w:rsidRDefault="006C7F17">
      <w:pPr>
        <w:pStyle w:val="BodyText"/>
        <w:spacing w:before="49"/>
        <w:ind w:left="108"/>
        <w:rPr>
          <w:i w:val="0"/>
        </w:rPr>
      </w:pPr>
    </w:p>
    <w:tbl>
      <w:tblPr>
        <w:tblW w:w="10109" w:type="dxa"/>
        <w:tblInd w:w="17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4979"/>
        <w:gridCol w:w="854"/>
        <w:gridCol w:w="4276"/>
      </w:tblGrid>
      <w:tr w:rsidR="00124075" w14:paraId="73A7DF78" w14:textId="77777777" w:rsidTr="0095250C">
        <w:trPr>
          <w:trHeight w:val="571"/>
        </w:trPr>
        <w:tc>
          <w:tcPr>
            <w:tcW w:w="4979" w:type="dxa"/>
            <w:shd w:val="clear" w:color="auto" w:fill="EBEBEC"/>
            <w:vAlign w:val="center"/>
          </w:tcPr>
          <w:p w14:paraId="246C7BE4" w14:textId="77777777" w:rsidR="00124075" w:rsidRDefault="00124075" w:rsidP="00124075">
            <w:pPr>
              <w:pStyle w:val="TableParagraph"/>
              <w:ind w:left="84" w:right="14"/>
              <w:jc w:val="center"/>
              <w:rPr>
                <w:b/>
              </w:rPr>
            </w:pPr>
            <w:r>
              <w:rPr>
                <w:b/>
                <w:color w:val="231F20"/>
              </w:rPr>
              <w:lastRenderedPageBreak/>
              <w:t>The Board’s Annual</w:t>
            </w:r>
          </w:p>
          <w:p w14:paraId="004E41A6" w14:textId="70D9A6DA" w:rsidR="00124075" w:rsidRDefault="00124075" w:rsidP="00124075">
            <w:pPr>
              <w:pStyle w:val="TableParagraph"/>
              <w:ind w:left="84" w:right="14" w:firstLine="463"/>
              <w:jc w:val="center"/>
              <w:rPr>
                <w:b/>
              </w:rPr>
            </w:pPr>
            <w:r>
              <w:rPr>
                <w:b/>
                <w:color w:val="231F20"/>
              </w:rPr>
              <w:t>Financial Management Audit</w:t>
            </w:r>
          </w:p>
        </w:tc>
        <w:tc>
          <w:tcPr>
            <w:tcW w:w="854" w:type="dxa"/>
            <w:shd w:val="clear" w:color="auto" w:fill="EBEBEC"/>
            <w:vAlign w:val="center"/>
          </w:tcPr>
          <w:p w14:paraId="553920E5" w14:textId="25FA5426" w:rsidR="00124075" w:rsidRDefault="00124075" w:rsidP="00124075">
            <w:pPr>
              <w:pStyle w:val="TableParagraph"/>
              <w:ind w:left="-16" w:right="14" w:firstLine="16"/>
              <w:jc w:val="center"/>
              <w:rPr>
                <w:b/>
                <w:sz w:val="20"/>
              </w:rPr>
            </w:pPr>
            <w:r>
              <w:rPr>
                <w:b/>
                <w:color w:val="231F20"/>
                <w:sz w:val="20"/>
              </w:rPr>
              <w:t>True/ False</w:t>
            </w:r>
          </w:p>
        </w:tc>
        <w:tc>
          <w:tcPr>
            <w:tcW w:w="4276" w:type="dxa"/>
            <w:shd w:val="clear" w:color="auto" w:fill="EBEBEC"/>
            <w:vAlign w:val="center"/>
          </w:tcPr>
          <w:p w14:paraId="0BAFD5C0" w14:textId="7C0341EA" w:rsidR="00124075" w:rsidRDefault="00124075" w:rsidP="00124075">
            <w:pPr>
              <w:pStyle w:val="TableParagraph"/>
              <w:ind w:left="84" w:right="14"/>
              <w:jc w:val="center"/>
              <w:rPr>
                <w:b/>
                <w:sz w:val="20"/>
              </w:rPr>
            </w:pPr>
            <w:r>
              <w:rPr>
                <w:b/>
                <w:color w:val="231F20"/>
                <w:sz w:val="20"/>
              </w:rPr>
              <w:t>How does the board know?</w:t>
            </w:r>
          </w:p>
        </w:tc>
      </w:tr>
      <w:tr w:rsidR="006C7F17" w14:paraId="3965B1E1" w14:textId="77777777" w:rsidTr="0095250C">
        <w:trPr>
          <w:trHeight w:val="595"/>
        </w:trPr>
        <w:tc>
          <w:tcPr>
            <w:tcW w:w="4979" w:type="dxa"/>
            <w:vAlign w:val="center"/>
          </w:tcPr>
          <w:p w14:paraId="0A34EBB1" w14:textId="77777777" w:rsidR="006C7F17" w:rsidRDefault="006C7F17" w:rsidP="0095250C">
            <w:pPr>
              <w:pStyle w:val="TableParagraph"/>
              <w:spacing w:before="40" w:after="40"/>
              <w:ind w:left="186"/>
            </w:pPr>
            <w:r>
              <w:rPr>
                <w:color w:val="231F20"/>
              </w:rPr>
              <w:t>8. Our total unrestricted revenue is increasing.</w:t>
            </w:r>
          </w:p>
        </w:tc>
        <w:tc>
          <w:tcPr>
            <w:tcW w:w="854" w:type="dxa"/>
            <w:vAlign w:val="center"/>
          </w:tcPr>
          <w:p w14:paraId="2B42AAC3" w14:textId="77777777" w:rsidR="006C7F17" w:rsidRDefault="006C7F17" w:rsidP="00124075">
            <w:pPr>
              <w:pStyle w:val="TableParagraph"/>
              <w:jc w:val="center"/>
              <w:rPr>
                <w:rFonts w:ascii="Times New Roman"/>
                <w:sz w:val="20"/>
              </w:rPr>
            </w:pPr>
          </w:p>
        </w:tc>
        <w:tc>
          <w:tcPr>
            <w:tcW w:w="4276" w:type="dxa"/>
            <w:vAlign w:val="center"/>
          </w:tcPr>
          <w:p w14:paraId="379DBCED" w14:textId="77777777" w:rsidR="006C7F17" w:rsidRDefault="006C7F17" w:rsidP="00124075">
            <w:pPr>
              <w:pStyle w:val="TableParagraph"/>
              <w:ind w:left="190"/>
              <w:rPr>
                <w:rFonts w:ascii="Times New Roman"/>
                <w:sz w:val="20"/>
              </w:rPr>
            </w:pPr>
          </w:p>
        </w:tc>
      </w:tr>
      <w:tr w:rsidR="006C7F17" w14:paraId="584CC8BF" w14:textId="77777777" w:rsidTr="0095250C">
        <w:trPr>
          <w:trHeight w:val="1218"/>
        </w:trPr>
        <w:tc>
          <w:tcPr>
            <w:tcW w:w="4979" w:type="dxa"/>
            <w:vAlign w:val="center"/>
          </w:tcPr>
          <w:p w14:paraId="0D65E027" w14:textId="77777777" w:rsidR="006C7F17" w:rsidRDefault="006C7F17" w:rsidP="0095250C">
            <w:pPr>
              <w:pStyle w:val="TableParagraph"/>
              <w:spacing w:before="40" w:after="40"/>
              <w:ind w:left="457" w:right="89" w:hanging="271"/>
            </w:pPr>
            <w:r>
              <w:rPr>
                <w:color w:val="231F20"/>
              </w:rPr>
              <w:t>9. Our ministry is adequately communicating with our financial institutions regarding loan renewals, international fund transfers, line of credit, and bank accounts.</w:t>
            </w:r>
          </w:p>
        </w:tc>
        <w:tc>
          <w:tcPr>
            <w:tcW w:w="854" w:type="dxa"/>
            <w:vAlign w:val="center"/>
          </w:tcPr>
          <w:p w14:paraId="185502B9" w14:textId="77777777" w:rsidR="006C7F17" w:rsidRDefault="006C7F17" w:rsidP="00124075">
            <w:pPr>
              <w:pStyle w:val="TableParagraph"/>
              <w:jc w:val="center"/>
              <w:rPr>
                <w:rFonts w:ascii="Times New Roman"/>
                <w:sz w:val="20"/>
              </w:rPr>
            </w:pPr>
          </w:p>
        </w:tc>
        <w:tc>
          <w:tcPr>
            <w:tcW w:w="4276" w:type="dxa"/>
            <w:vAlign w:val="center"/>
          </w:tcPr>
          <w:p w14:paraId="105642C9" w14:textId="77777777" w:rsidR="006C7F17" w:rsidRDefault="006C7F17" w:rsidP="00124075">
            <w:pPr>
              <w:pStyle w:val="TableParagraph"/>
              <w:ind w:left="190"/>
              <w:rPr>
                <w:rFonts w:ascii="Times New Roman"/>
                <w:sz w:val="20"/>
              </w:rPr>
            </w:pPr>
          </w:p>
        </w:tc>
      </w:tr>
      <w:tr w:rsidR="006C7F17" w14:paraId="09444AEF" w14:textId="77777777" w:rsidTr="0095250C">
        <w:trPr>
          <w:trHeight w:val="671"/>
        </w:trPr>
        <w:tc>
          <w:tcPr>
            <w:tcW w:w="4979" w:type="dxa"/>
            <w:vAlign w:val="center"/>
          </w:tcPr>
          <w:p w14:paraId="14BE3C47" w14:textId="77777777" w:rsidR="006C7F17" w:rsidRDefault="006C7F17" w:rsidP="0095250C">
            <w:pPr>
              <w:pStyle w:val="TableParagraph"/>
              <w:spacing w:before="40" w:after="40"/>
              <w:ind w:left="457" w:hanging="361"/>
            </w:pPr>
            <w:r>
              <w:rPr>
                <w:color w:val="231F20"/>
              </w:rPr>
              <w:t>10. Accounts payable, payroll taxes, and other current liabilities are being paid on time.</w:t>
            </w:r>
          </w:p>
        </w:tc>
        <w:tc>
          <w:tcPr>
            <w:tcW w:w="854" w:type="dxa"/>
            <w:vAlign w:val="center"/>
          </w:tcPr>
          <w:p w14:paraId="611B310E" w14:textId="77777777" w:rsidR="006C7F17" w:rsidRDefault="006C7F17" w:rsidP="00124075">
            <w:pPr>
              <w:pStyle w:val="TableParagraph"/>
              <w:jc w:val="center"/>
              <w:rPr>
                <w:rFonts w:ascii="Times New Roman"/>
                <w:sz w:val="20"/>
              </w:rPr>
            </w:pPr>
          </w:p>
        </w:tc>
        <w:tc>
          <w:tcPr>
            <w:tcW w:w="4276" w:type="dxa"/>
            <w:vAlign w:val="center"/>
          </w:tcPr>
          <w:p w14:paraId="6B35C7F1" w14:textId="77777777" w:rsidR="006C7F17" w:rsidRDefault="006C7F17" w:rsidP="00124075">
            <w:pPr>
              <w:pStyle w:val="TableParagraph"/>
              <w:ind w:left="190"/>
              <w:rPr>
                <w:rFonts w:ascii="Times New Roman"/>
                <w:sz w:val="20"/>
              </w:rPr>
            </w:pPr>
          </w:p>
        </w:tc>
      </w:tr>
      <w:tr w:rsidR="006C7F17" w14:paraId="7D30F69A" w14:textId="77777777" w:rsidTr="0095250C">
        <w:trPr>
          <w:trHeight w:val="1171"/>
        </w:trPr>
        <w:tc>
          <w:tcPr>
            <w:tcW w:w="4979" w:type="dxa"/>
            <w:vAlign w:val="center"/>
          </w:tcPr>
          <w:p w14:paraId="1BFB7956" w14:textId="77777777" w:rsidR="006C7F17" w:rsidRDefault="006C7F17" w:rsidP="0095250C">
            <w:pPr>
              <w:pStyle w:val="TableParagraph"/>
              <w:spacing w:before="40" w:after="40"/>
              <w:ind w:left="457" w:right="57" w:hanging="361"/>
            </w:pPr>
            <w:r>
              <w:rPr>
                <w:color w:val="231F20"/>
              </w:rPr>
              <w:t>11. Our net assets without donor restrictions, after deducting net property, plant, and equipment less related debt, shows a positive trend.</w:t>
            </w:r>
          </w:p>
        </w:tc>
        <w:tc>
          <w:tcPr>
            <w:tcW w:w="854" w:type="dxa"/>
            <w:vAlign w:val="center"/>
          </w:tcPr>
          <w:p w14:paraId="196A88CC" w14:textId="77777777" w:rsidR="006C7F17" w:rsidRDefault="006C7F17" w:rsidP="00124075">
            <w:pPr>
              <w:pStyle w:val="TableParagraph"/>
              <w:jc w:val="center"/>
              <w:rPr>
                <w:rFonts w:ascii="Times New Roman"/>
                <w:sz w:val="20"/>
              </w:rPr>
            </w:pPr>
          </w:p>
        </w:tc>
        <w:tc>
          <w:tcPr>
            <w:tcW w:w="4276" w:type="dxa"/>
            <w:vAlign w:val="center"/>
          </w:tcPr>
          <w:p w14:paraId="270EC890" w14:textId="77777777" w:rsidR="006C7F17" w:rsidRDefault="006C7F17" w:rsidP="00124075">
            <w:pPr>
              <w:pStyle w:val="TableParagraph"/>
              <w:ind w:left="190"/>
              <w:rPr>
                <w:rFonts w:ascii="Times New Roman"/>
                <w:sz w:val="20"/>
              </w:rPr>
            </w:pPr>
          </w:p>
        </w:tc>
      </w:tr>
      <w:tr w:rsidR="006C7F17" w14:paraId="1D755115" w14:textId="77777777" w:rsidTr="0095250C">
        <w:trPr>
          <w:trHeight w:val="911"/>
        </w:trPr>
        <w:tc>
          <w:tcPr>
            <w:tcW w:w="4979" w:type="dxa"/>
            <w:vAlign w:val="center"/>
          </w:tcPr>
          <w:p w14:paraId="5A717E49" w14:textId="77777777" w:rsidR="006C7F17" w:rsidRDefault="006C7F17" w:rsidP="0095250C">
            <w:pPr>
              <w:pStyle w:val="TableParagraph"/>
              <w:spacing w:before="40" w:after="40"/>
              <w:ind w:left="457" w:hanging="361"/>
            </w:pPr>
            <w:r>
              <w:rPr>
                <w:color w:val="231F20"/>
              </w:rPr>
              <w:t>12. Our financial statements do not reflect designated net assets in excess of what is available for designation.</w:t>
            </w:r>
          </w:p>
        </w:tc>
        <w:tc>
          <w:tcPr>
            <w:tcW w:w="854" w:type="dxa"/>
            <w:vAlign w:val="center"/>
          </w:tcPr>
          <w:p w14:paraId="4F06989A" w14:textId="77777777" w:rsidR="006C7F17" w:rsidRDefault="006C7F17" w:rsidP="00124075">
            <w:pPr>
              <w:pStyle w:val="TableParagraph"/>
              <w:jc w:val="center"/>
              <w:rPr>
                <w:rFonts w:ascii="Times New Roman"/>
                <w:sz w:val="20"/>
              </w:rPr>
            </w:pPr>
          </w:p>
        </w:tc>
        <w:tc>
          <w:tcPr>
            <w:tcW w:w="4276" w:type="dxa"/>
            <w:vAlign w:val="center"/>
          </w:tcPr>
          <w:p w14:paraId="4B191CDE" w14:textId="77777777" w:rsidR="006C7F17" w:rsidRDefault="006C7F17" w:rsidP="00124075">
            <w:pPr>
              <w:pStyle w:val="TableParagraph"/>
              <w:ind w:left="190"/>
              <w:rPr>
                <w:rFonts w:ascii="Times New Roman"/>
                <w:sz w:val="20"/>
              </w:rPr>
            </w:pPr>
          </w:p>
        </w:tc>
      </w:tr>
      <w:tr w:rsidR="006C7F17" w14:paraId="6B787238" w14:textId="77777777" w:rsidTr="0095250C">
        <w:trPr>
          <w:trHeight w:val="729"/>
        </w:trPr>
        <w:tc>
          <w:tcPr>
            <w:tcW w:w="4979" w:type="dxa"/>
            <w:vAlign w:val="center"/>
          </w:tcPr>
          <w:p w14:paraId="38B463B4" w14:textId="77777777" w:rsidR="006C7F17" w:rsidRDefault="006C7F17" w:rsidP="0095250C">
            <w:pPr>
              <w:pStyle w:val="TableParagraph"/>
              <w:spacing w:before="40" w:after="40"/>
              <w:ind w:left="457" w:right="89" w:hanging="361"/>
            </w:pPr>
            <w:r>
              <w:rPr>
                <w:color w:val="231F20"/>
              </w:rPr>
              <w:t>13. We have an appropriate investment policy and it is followed.</w:t>
            </w:r>
          </w:p>
        </w:tc>
        <w:tc>
          <w:tcPr>
            <w:tcW w:w="854" w:type="dxa"/>
            <w:vAlign w:val="center"/>
          </w:tcPr>
          <w:p w14:paraId="7B61B865" w14:textId="77777777" w:rsidR="006C7F17" w:rsidRDefault="006C7F17" w:rsidP="00124075">
            <w:pPr>
              <w:pStyle w:val="TableParagraph"/>
              <w:jc w:val="center"/>
              <w:rPr>
                <w:rFonts w:ascii="Times New Roman"/>
                <w:sz w:val="20"/>
              </w:rPr>
            </w:pPr>
          </w:p>
        </w:tc>
        <w:tc>
          <w:tcPr>
            <w:tcW w:w="4276" w:type="dxa"/>
            <w:vAlign w:val="center"/>
          </w:tcPr>
          <w:p w14:paraId="6EEBE9E2" w14:textId="77777777" w:rsidR="006C7F17" w:rsidRDefault="006C7F17" w:rsidP="00124075">
            <w:pPr>
              <w:pStyle w:val="TableParagraph"/>
              <w:ind w:left="190"/>
              <w:rPr>
                <w:rFonts w:ascii="Times New Roman"/>
                <w:sz w:val="20"/>
              </w:rPr>
            </w:pPr>
          </w:p>
        </w:tc>
      </w:tr>
      <w:tr w:rsidR="006C7F17" w14:paraId="459ECD7D" w14:textId="77777777" w:rsidTr="0095250C">
        <w:trPr>
          <w:trHeight w:val="631"/>
        </w:trPr>
        <w:tc>
          <w:tcPr>
            <w:tcW w:w="4979" w:type="dxa"/>
            <w:vAlign w:val="center"/>
          </w:tcPr>
          <w:p w14:paraId="06C2B693" w14:textId="77777777" w:rsidR="006C7F17" w:rsidRDefault="006C7F17" w:rsidP="0095250C">
            <w:pPr>
              <w:pStyle w:val="TableParagraph"/>
              <w:spacing w:before="40" w:after="40"/>
              <w:ind w:left="457" w:right="89" w:hanging="361"/>
            </w:pPr>
            <w:r>
              <w:rPr>
                <w:color w:val="231F20"/>
              </w:rPr>
              <w:t>14. Our bank accounts do not exceed FDIC limits.</w:t>
            </w:r>
          </w:p>
        </w:tc>
        <w:tc>
          <w:tcPr>
            <w:tcW w:w="854" w:type="dxa"/>
            <w:vAlign w:val="center"/>
          </w:tcPr>
          <w:p w14:paraId="76E2CBFD" w14:textId="77777777" w:rsidR="006C7F17" w:rsidRDefault="006C7F17" w:rsidP="00124075">
            <w:pPr>
              <w:pStyle w:val="TableParagraph"/>
              <w:jc w:val="center"/>
              <w:rPr>
                <w:rFonts w:ascii="Times New Roman"/>
                <w:sz w:val="20"/>
              </w:rPr>
            </w:pPr>
          </w:p>
        </w:tc>
        <w:tc>
          <w:tcPr>
            <w:tcW w:w="4276" w:type="dxa"/>
            <w:vAlign w:val="center"/>
          </w:tcPr>
          <w:p w14:paraId="75B897A7" w14:textId="77777777" w:rsidR="006C7F17" w:rsidRDefault="006C7F17" w:rsidP="00124075">
            <w:pPr>
              <w:pStyle w:val="TableParagraph"/>
              <w:ind w:left="190"/>
              <w:rPr>
                <w:rFonts w:ascii="Times New Roman"/>
                <w:sz w:val="20"/>
              </w:rPr>
            </w:pPr>
          </w:p>
        </w:tc>
      </w:tr>
      <w:tr w:rsidR="006C7F17" w14:paraId="6FB8AA55" w14:textId="77777777" w:rsidTr="0095250C">
        <w:trPr>
          <w:trHeight w:val="1136"/>
        </w:trPr>
        <w:tc>
          <w:tcPr>
            <w:tcW w:w="4979" w:type="dxa"/>
            <w:vAlign w:val="center"/>
          </w:tcPr>
          <w:p w14:paraId="783E1CEF" w14:textId="77777777" w:rsidR="006C7F17" w:rsidRDefault="006C7F17" w:rsidP="0095250C">
            <w:pPr>
              <w:pStyle w:val="TableParagraph"/>
              <w:spacing w:before="40" w:after="40"/>
              <w:ind w:left="457" w:right="89" w:hanging="361"/>
            </w:pPr>
            <w:r>
              <w:rPr>
                <w:color w:val="231F20"/>
              </w:rPr>
              <w:t>15. We have engaged an independent CPA firm to perform an audit, review, or compilation or applied other appropriate accountability measures.</w:t>
            </w:r>
          </w:p>
        </w:tc>
        <w:tc>
          <w:tcPr>
            <w:tcW w:w="854" w:type="dxa"/>
            <w:vAlign w:val="center"/>
          </w:tcPr>
          <w:p w14:paraId="01E8E594" w14:textId="77777777" w:rsidR="006C7F17" w:rsidRDefault="006C7F17" w:rsidP="00124075">
            <w:pPr>
              <w:pStyle w:val="TableParagraph"/>
              <w:jc w:val="center"/>
              <w:rPr>
                <w:rFonts w:ascii="Times New Roman"/>
                <w:sz w:val="20"/>
              </w:rPr>
            </w:pPr>
          </w:p>
        </w:tc>
        <w:tc>
          <w:tcPr>
            <w:tcW w:w="4276" w:type="dxa"/>
            <w:vAlign w:val="center"/>
          </w:tcPr>
          <w:p w14:paraId="5EBC0FD8" w14:textId="77777777" w:rsidR="006C7F17" w:rsidRDefault="006C7F17" w:rsidP="00124075">
            <w:pPr>
              <w:pStyle w:val="TableParagraph"/>
              <w:ind w:left="190"/>
              <w:rPr>
                <w:rFonts w:ascii="Times New Roman"/>
                <w:sz w:val="20"/>
              </w:rPr>
            </w:pPr>
          </w:p>
        </w:tc>
      </w:tr>
      <w:tr w:rsidR="006C7F17" w14:paraId="3ABE31A6" w14:textId="77777777" w:rsidTr="0095250C">
        <w:trPr>
          <w:trHeight w:val="897"/>
        </w:trPr>
        <w:tc>
          <w:tcPr>
            <w:tcW w:w="4979" w:type="dxa"/>
            <w:vAlign w:val="center"/>
          </w:tcPr>
          <w:p w14:paraId="1A6B800F" w14:textId="77777777" w:rsidR="006C7F17" w:rsidRDefault="006C7F17" w:rsidP="0095250C">
            <w:pPr>
              <w:pStyle w:val="TableParagraph"/>
              <w:spacing w:before="40" w:after="40"/>
              <w:ind w:left="457" w:right="89" w:hanging="361"/>
            </w:pPr>
            <w:r>
              <w:rPr>
                <w:color w:val="231F20"/>
              </w:rPr>
              <w:t>16. The staff has provided a written response to the board in relation to any management letter comments from the CPA firm.</w:t>
            </w:r>
          </w:p>
        </w:tc>
        <w:tc>
          <w:tcPr>
            <w:tcW w:w="854" w:type="dxa"/>
            <w:vAlign w:val="center"/>
          </w:tcPr>
          <w:p w14:paraId="291C789F" w14:textId="77777777" w:rsidR="006C7F17" w:rsidRDefault="006C7F17" w:rsidP="00124075">
            <w:pPr>
              <w:pStyle w:val="TableParagraph"/>
              <w:jc w:val="center"/>
              <w:rPr>
                <w:rFonts w:ascii="Times New Roman"/>
                <w:sz w:val="20"/>
              </w:rPr>
            </w:pPr>
          </w:p>
        </w:tc>
        <w:tc>
          <w:tcPr>
            <w:tcW w:w="4276" w:type="dxa"/>
            <w:vAlign w:val="center"/>
          </w:tcPr>
          <w:p w14:paraId="444C35F1" w14:textId="77777777" w:rsidR="006C7F17" w:rsidRDefault="006C7F17" w:rsidP="00124075">
            <w:pPr>
              <w:pStyle w:val="TableParagraph"/>
              <w:ind w:left="190"/>
              <w:rPr>
                <w:rFonts w:ascii="Times New Roman"/>
                <w:sz w:val="20"/>
              </w:rPr>
            </w:pPr>
          </w:p>
        </w:tc>
      </w:tr>
      <w:tr w:rsidR="006C7F17" w14:paraId="6844DD20" w14:textId="77777777" w:rsidTr="0095250C">
        <w:trPr>
          <w:trHeight w:val="897"/>
        </w:trPr>
        <w:tc>
          <w:tcPr>
            <w:tcW w:w="4979" w:type="dxa"/>
            <w:vAlign w:val="center"/>
          </w:tcPr>
          <w:p w14:paraId="2D8371A4" w14:textId="77777777" w:rsidR="006C7F17" w:rsidRDefault="006C7F17" w:rsidP="0095250C">
            <w:pPr>
              <w:pStyle w:val="TableParagraph"/>
              <w:spacing w:before="40" w:after="40"/>
              <w:ind w:left="457" w:right="337" w:hanging="361"/>
            </w:pPr>
            <w:r>
              <w:rPr>
                <w:color w:val="231F20"/>
              </w:rPr>
              <w:t>17. We have identified the three greatest financial risks of our ministry and the steps we should take to mitigate those risks.</w:t>
            </w:r>
          </w:p>
        </w:tc>
        <w:tc>
          <w:tcPr>
            <w:tcW w:w="854" w:type="dxa"/>
            <w:vAlign w:val="center"/>
          </w:tcPr>
          <w:p w14:paraId="26AB6D3B" w14:textId="77777777" w:rsidR="006C7F17" w:rsidRDefault="006C7F17" w:rsidP="00124075">
            <w:pPr>
              <w:pStyle w:val="TableParagraph"/>
              <w:jc w:val="center"/>
              <w:rPr>
                <w:rFonts w:ascii="Times New Roman"/>
                <w:sz w:val="20"/>
              </w:rPr>
            </w:pPr>
          </w:p>
        </w:tc>
        <w:tc>
          <w:tcPr>
            <w:tcW w:w="4276" w:type="dxa"/>
            <w:vAlign w:val="center"/>
          </w:tcPr>
          <w:p w14:paraId="198A434F" w14:textId="77777777" w:rsidR="006C7F17" w:rsidRDefault="006C7F17" w:rsidP="00124075">
            <w:pPr>
              <w:pStyle w:val="TableParagraph"/>
              <w:ind w:left="190"/>
              <w:rPr>
                <w:rFonts w:ascii="Times New Roman"/>
                <w:sz w:val="20"/>
              </w:rPr>
            </w:pPr>
          </w:p>
        </w:tc>
      </w:tr>
      <w:tr w:rsidR="006C7F17" w14:paraId="055BD184" w14:textId="77777777" w:rsidTr="0095250C">
        <w:trPr>
          <w:trHeight w:val="878"/>
        </w:trPr>
        <w:tc>
          <w:tcPr>
            <w:tcW w:w="4979" w:type="dxa"/>
            <w:vAlign w:val="center"/>
          </w:tcPr>
          <w:p w14:paraId="34E41401" w14:textId="77777777" w:rsidR="006C7F17" w:rsidRDefault="006C7F17" w:rsidP="0095250C">
            <w:pPr>
              <w:pStyle w:val="TableParagraph"/>
              <w:spacing w:before="40" w:after="40"/>
              <w:ind w:left="457" w:right="270" w:hanging="361"/>
            </w:pPr>
            <w:r>
              <w:rPr>
                <w:color w:val="231F20"/>
              </w:rPr>
              <w:t>18. All significant related-party transactions are reported to the board for their review and action.</w:t>
            </w:r>
          </w:p>
        </w:tc>
        <w:tc>
          <w:tcPr>
            <w:tcW w:w="854" w:type="dxa"/>
            <w:vAlign w:val="center"/>
          </w:tcPr>
          <w:p w14:paraId="2CE03C1D" w14:textId="77777777" w:rsidR="006C7F17" w:rsidRDefault="006C7F17" w:rsidP="00124075">
            <w:pPr>
              <w:pStyle w:val="TableParagraph"/>
              <w:jc w:val="center"/>
              <w:rPr>
                <w:rFonts w:ascii="Times New Roman"/>
                <w:sz w:val="20"/>
              </w:rPr>
            </w:pPr>
          </w:p>
        </w:tc>
        <w:tc>
          <w:tcPr>
            <w:tcW w:w="4276" w:type="dxa"/>
            <w:vAlign w:val="center"/>
          </w:tcPr>
          <w:p w14:paraId="316EDE88" w14:textId="77777777" w:rsidR="006C7F17" w:rsidRDefault="006C7F17" w:rsidP="00124075">
            <w:pPr>
              <w:pStyle w:val="TableParagraph"/>
              <w:ind w:left="190"/>
              <w:rPr>
                <w:rFonts w:ascii="Times New Roman"/>
                <w:sz w:val="20"/>
              </w:rPr>
            </w:pPr>
          </w:p>
        </w:tc>
      </w:tr>
      <w:tr w:rsidR="006C7F17" w14:paraId="3766E0A5" w14:textId="77777777" w:rsidTr="0095250C">
        <w:trPr>
          <w:trHeight w:val="1666"/>
        </w:trPr>
        <w:tc>
          <w:tcPr>
            <w:tcW w:w="4979" w:type="dxa"/>
            <w:vAlign w:val="center"/>
          </w:tcPr>
          <w:p w14:paraId="2E815AB8" w14:textId="77777777" w:rsidR="006C7F17" w:rsidRDefault="006C7F17" w:rsidP="0095250C">
            <w:pPr>
              <w:pStyle w:val="TableParagraph"/>
              <w:spacing w:before="40" w:after="40"/>
              <w:ind w:left="457" w:right="89" w:hanging="361"/>
            </w:pPr>
            <w:r>
              <w:rPr>
                <w:color w:val="231F20"/>
              </w:rPr>
              <w:t>19. The staff has informed the board of the total compensation, including fringe benefits taxable and non-taxable, of any member of the top leader’s family who is employed by the organization or any of its subsidiaries or affiliates.</w:t>
            </w:r>
          </w:p>
        </w:tc>
        <w:tc>
          <w:tcPr>
            <w:tcW w:w="854" w:type="dxa"/>
            <w:vAlign w:val="center"/>
          </w:tcPr>
          <w:p w14:paraId="33820D4D" w14:textId="77777777" w:rsidR="006C7F17" w:rsidRDefault="006C7F17" w:rsidP="00124075">
            <w:pPr>
              <w:pStyle w:val="TableParagraph"/>
              <w:jc w:val="center"/>
              <w:rPr>
                <w:rFonts w:ascii="Times New Roman"/>
                <w:sz w:val="20"/>
              </w:rPr>
            </w:pPr>
          </w:p>
        </w:tc>
        <w:tc>
          <w:tcPr>
            <w:tcW w:w="4276" w:type="dxa"/>
            <w:vAlign w:val="center"/>
          </w:tcPr>
          <w:p w14:paraId="1F450F41" w14:textId="77777777" w:rsidR="006C7F17" w:rsidRDefault="006C7F17" w:rsidP="00124075">
            <w:pPr>
              <w:pStyle w:val="TableParagraph"/>
              <w:ind w:left="190"/>
              <w:rPr>
                <w:rFonts w:ascii="Times New Roman"/>
                <w:sz w:val="20"/>
              </w:rPr>
            </w:pPr>
          </w:p>
        </w:tc>
      </w:tr>
      <w:tr w:rsidR="006C7F17" w14:paraId="46931F01" w14:textId="77777777" w:rsidTr="0095250C">
        <w:trPr>
          <w:trHeight w:val="972"/>
        </w:trPr>
        <w:tc>
          <w:tcPr>
            <w:tcW w:w="4979" w:type="dxa"/>
            <w:vAlign w:val="center"/>
          </w:tcPr>
          <w:p w14:paraId="00C4DDFB" w14:textId="77777777" w:rsidR="006C7F17" w:rsidRDefault="006C7F17" w:rsidP="0095250C">
            <w:pPr>
              <w:pStyle w:val="TableParagraph"/>
              <w:spacing w:before="40" w:after="40"/>
              <w:ind w:left="457" w:hanging="361"/>
            </w:pPr>
            <w:r>
              <w:rPr>
                <w:color w:val="231F20"/>
              </w:rPr>
              <w:t xml:space="preserve">20. Our board complies with ECFA’s Policy for Excellence in Compensation-Setting: </w:t>
            </w:r>
            <w:hyperlink r:id="rId11">
              <w:r>
                <w:rPr>
                  <w:i/>
                  <w:color w:val="231F20"/>
                </w:rPr>
                <w:t>https://www</w:t>
              </w:r>
            </w:hyperlink>
            <w:r>
              <w:rPr>
                <w:i/>
                <w:color w:val="231F20"/>
              </w:rPr>
              <w:t>.ECF</w:t>
            </w:r>
            <w:hyperlink r:id="rId12">
              <w:r>
                <w:rPr>
                  <w:i/>
                  <w:color w:val="231F20"/>
                </w:rPr>
                <w:t>A.org/Contents/Comment6a</w:t>
              </w:r>
            </w:hyperlink>
            <w:r>
              <w:rPr>
                <w:color w:val="231F20"/>
              </w:rPr>
              <w:t>.</w:t>
            </w:r>
          </w:p>
        </w:tc>
        <w:tc>
          <w:tcPr>
            <w:tcW w:w="854" w:type="dxa"/>
            <w:vAlign w:val="center"/>
          </w:tcPr>
          <w:p w14:paraId="1B8496F7" w14:textId="77777777" w:rsidR="006C7F17" w:rsidRDefault="006C7F17" w:rsidP="00124075">
            <w:pPr>
              <w:pStyle w:val="TableParagraph"/>
              <w:jc w:val="center"/>
              <w:rPr>
                <w:rFonts w:ascii="Times New Roman"/>
                <w:sz w:val="20"/>
              </w:rPr>
            </w:pPr>
          </w:p>
        </w:tc>
        <w:tc>
          <w:tcPr>
            <w:tcW w:w="4276" w:type="dxa"/>
            <w:vAlign w:val="center"/>
          </w:tcPr>
          <w:p w14:paraId="48A03EB9" w14:textId="77777777" w:rsidR="006C7F17" w:rsidRDefault="006C7F17" w:rsidP="00124075">
            <w:pPr>
              <w:pStyle w:val="TableParagraph"/>
              <w:ind w:left="190"/>
              <w:rPr>
                <w:rFonts w:ascii="Times New Roman"/>
                <w:sz w:val="20"/>
              </w:rPr>
            </w:pPr>
          </w:p>
        </w:tc>
      </w:tr>
    </w:tbl>
    <w:p w14:paraId="151938CA" w14:textId="77777777" w:rsidR="006C7F17" w:rsidRDefault="006C7F17">
      <w:pPr>
        <w:pStyle w:val="BodyText"/>
        <w:spacing w:before="49"/>
        <w:ind w:left="108"/>
        <w:rPr>
          <w:i w:val="0"/>
        </w:rPr>
      </w:pPr>
    </w:p>
    <w:sectPr w:rsidR="006C7F17" w:rsidSect="004B3606">
      <w:headerReference w:type="default" r:id="rId13"/>
      <w:footerReference w:type="even" r:id="rId14"/>
      <w:footerReference w:type="default" r:id="rId15"/>
      <w:type w:val="continuous"/>
      <w:pgSz w:w="12240" w:h="15840"/>
      <w:pgMar w:top="1287" w:right="1037" w:bottom="693" w:left="965" w:header="691" w:footer="18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D8D19" w14:textId="77777777" w:rsidR="001B4816" w:rsidRDefault="001B4816" w:rsidP="00803582">
      <w:r>
        <w:separator/>
      </w:r>
    </w:p>
  </w:endnote>
  <w:endnote w:type="continuationSeparator" w:id="0">
    <w:p w14:paraId="7A8B0690" w14:textId="77777777" w:rsidR="001B4816" w:rsidRDefault="001B4816" w:rsidP="0080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LT">
    <w:altName w:val="Arial"/>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Condensed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6979982"/>
      <w:docPartObj>
        <w:docPartGallery w:val="Page Numbers (Bottom of Page)"/>
        <w:docPartUnique/>
      </w:docPartObj>
    </w:sdtPr>
    <w:sdtEndPr>
      <w:rPr>
        <w:rStyle w:val="PageNumber"/>
      </w:rPr>
    </w:sdtEndPr>
    <w:sdtContent>
      <w:p w14:paraId="0DBA4B98" w14:textId="77777777" w:rsidR="00210CA5" w:rsidRDefault="00210CA5" w:rsidP="00024A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F2B50D" w14:textId="77777777" w:rsidR="00210CA5" w:rsidRDefault="00210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11E69" w14:textId="6FF708D6" w:rsidR="004108B3" w:rsidRDefault="004108B3" w:rsidP="004108B3">
    <w:pPr>
      <w:pStyle w:val="Footer"/>
      <w:ind w:right="-110" w:hanging="180"/>
      <w:jc w:val="center"/>
      <w:rPr>
        <w:rFonts w:eastAsiaTheme="minorHAnsi" w:cs="Arial"/>
        <w:sz w:val="14"/>
        <w:szCs w:val="14"/>
      </w:rPr>
    </w:pPr>
    <w:r>
      <w:rPr>
        <w:rFonts w:eastAsiaTheme="minorHAnsi" w:cs="Arial"/>
        <w:sz w:val="14"/>
        <w:szCs w:val="14"/>
      </w:rPr>
      <w:t>_______________________________________________________________________________________________________________________________________</w:t>
    </w:r>
  </w:p>
  <w:p w14:paraId="56D04D49" w14:textId="77777777" w:rsidR="00BF6980" w:rsidRPr="007A6080" w:rsidRDefault="00BF6980" w:rsidP="00BF6980">
    <w:pPr>
      <w:pStyle w:val="Footer"/>
      <w:ind w:right="-200" w:hanging="180"/>
      <w:jc w:val="center"/>
      <w:rPr>
        <w:rFonts w:ascii="Helvetica Condensed Medium" w:hAnsi="Helvetica Condensed Medium"/>
        <w:sz w:val="14"/>
        <w:szCs w:val="14"/>
      </w:rPr>
    </w:pPr>
    <w:r w:rsidRPr="007A6080">
      <w:rPr>
        <w:rFonts w:ascii="Helvetica Condensed Medium" w:eastAsiaTheme="minorHAnsi" w:hAnsi="Helvetica Condensed Medium" w:cs="Arial"/>
        <w:sz w:val="14"/>
        <w:szCs w:val="14"/>
      </w:rPr>
      <w:t xml:space="preserve">Page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PAGE </w:instrText>
    </w:r>
    <w:r w:rsidRPr="007A6080">
      <w:rPr>
        <w:rFonts w:ascii="Helvetica Condensed Medium" w:eastAsiaTheme="minorHAnsi" w:hAnsi="Helvetica Condensed Medium" w:cs="Arial"/>
        <w:sz w:val="14"/>
        <w:szCs w:val="14"/>
      </w:rPr>
      <w:fldChar w:fldCharType="separate"/>
    </w:r>
    <w:r>
      <w:rPr>
        <w:rFonts w:ascii="Helvetica Condensed Medium" w:eastAsiaTheme="minorHAnsi" w:hAnsi="Helvetica Condensed Medium" w:cs="Arial"/>
        <w:sz w:val="14"/>
        <w:szCs w:val="14"/>
      </w:rPr>
      <w:t>12</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of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NUMPAGES </w:instrText>
    </w:r>
    <w:r w:rsidRPr="007A6080">
      <w:rPr>
        <w:rFonts w:ascii="Helvetica Condensed Medium" w:eastAsiaTheme="minorHAnsi" w:hAnsi="Helvetica Condensed Medium" w:cs="Arial"/>
        <w:sz w:val="14"/>
        <w:szCs w:val="14"/>
      </w:rPr>
      <w:fldChar w:fldCharType="separate"/>
    </w:r>
    <w:r>
      <w:rPr>
        <w:rFonts w:ascii="Helvetica Condensed Medium" w:eastAsiaTheme="minorHAnsi" w:hAnsi="Helvetica Condensed Medium" w:cs="Arial"/>
        <w:sz w:val="14"/>
        <w:szCs w:val="14"/>
      </w:rPr>
      <w:t>12</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 </w:t>
    </w:r>
    <w:r w:rsidRPr="007A6080">
      <w:rPr>
        <w:rFonts w:ascii="Helvetica Condensed Medium" w:eastAsiaTheme="minorHAnsi" w:hAnsi="Helvetica Condensed Medium" w:cs="Arial"/>
        <w:i/>
        <w:iCs/>
        <w:sz w:val="14"/>
        <w:szCs w:val="14"/>
      </w:rPr>
      <w:t>ECFA Tools and Templates for Effective Board Governance</w:t>
    </w:r>
    <w:r w:rsidRPr="007A6080">
      <w:rPr>
        <w:rFonts w:ascii="Helvetica Condensed Medium" w:eastAsiaTheme="minorHAnsi" w:hAnsi="Helvetica Condensed Medium" w:cs="Arial"/>
        <w:sz w:val="14"/>
        <w:szCs w:val="14"/>
      </w:rPr>
      <w:t xml:space="preserve"> by Dan Busby and John Pearson. © 2019 ECFA. All rights reserved. </w:t>
    </w:r>
    <w:r w:rsidRPr="007A6080">
      <w:rPr>
        <w:rFonts w:ascii="Helvetica Condensed Medium" w:eastAsiaTheme="minorHAnsi" w:hAnsi="Helvetica Condensed Medium" w:cs="Arial"/>
        <w:i/>
        <w:iCs/>
        <w:sz w:val="14"/>
        <w:szCs w:val="14"/>
      </w:rPr>
      <w:t>www.ECFA.org/ECFAPress</w:t>
    </w:r>
  </w:p>
  <w:p w14:paraId="51806BC7" w14:textId="77777777" w:rsidR="004108B3" w:rsidRPr="00024ED0" w:rsidRDefault="004108B3">
    <w:pP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DCDAA" w14:textId="77777777" w:rsidR="001B4816" w:rsidRDefault="001B4816" w:rsidP="00803582">
      <w:r>
        <w:separator/>
      </w:r>
    </w:p>
  </w:footnote>
  <w:footnote w:type="continuationSeparator" w:id="0">
    <w:p w14:paraId="352028F7" w14:textId="77777777" w:rsidR="001B4816" w:rsidRDefault="001B4816" w:rsidP="00803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83C73" w14:textId="0B9B5F94" w:rsidR="00AB5FCE" w:rsidRDefault="00634010" w:rsidP="00634010">
    <w:pPr>
      <w:pStyle w:val="TableParagraph"/>
      <w:spacing w:before="51"/>
      <w:ind w:left="20"/>
      <w:jc w:val="center"/>
    </w:pPr>
    <w:r w:rsidRPr="00AB5FCE">
      <w:rPr>
        <w:noProof/>
      </w:rPr>
      <mc:AlternateContent>
        <mc:Choice Requires="wps">
          <w:drawing>
            <wp:anchor distT="0" distB="0" distL="114300" distR="114300" simplePos="0" relativeHeight="251657216" behindDoc="1" locked="0" layoutInCell="1" allowOverlap="1" wp14:anchorId="076A08EF" wp14:editId="09E570E0">
              <wp:simplePos x="0" y="0"/>
              <wp:positionH relativeFrom="margin">
                <wp:posOffset>-39370</wp:posOffset>
              </wp:positionH>
              <wp:positionV relativeFrom="page">
                <wp:posOffset>628015</wp:posOffset>
              </wp:positionV>
              <wp:extent cx="6858000" cy="0"/>
              <wp:effectExtent l="0" t="0" r="12700" b="12700"/>
              <wp:wrapNone/>
              <wp:docPr id="5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635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EC3E1" id="Line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1pt,49.45pt" to="536.9pt,4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" strokecolor="#939598" strokeweight=".5pt">
              <o:lock v:ext="edit" shapetype="f"/>
              <w10:wrap anchorx="margin" anchory="page"/>
            </v:line>
          </w:pict>
        </mc:Fallback>
      </mc:AlternateContent>
    </w:r>
    <w:r>
      <w:rPr>
        <w:color w:val="636466"/>
        <w:spacing w:val="-3"/>
      </w:rPr>
      <w:t xml:space="preserve">TOOL </w:t>
    </w:r>
    <w:r>
      <w:rPr>
        <w:color w:val="636466"/>
      </w:rPr>
      <w:t>#</w:t>
    </w:r>
    <w:r w:rsidR="00124075">
      <w:rPr>
        <w:color w:val="636466"/>
      </w:rPr>
      <w:t>6</w:t>
    </w:r>
    <w:r>
      <w:rPr>
        <w:color w:val="636466"/>
      </w:rPr>
      <w:t xml:space="preserve">: </w:t>
    </w:r>
    <w:r w:rsidR="00124075">
      <w:rPr>
        <w:color w:val="636466"/>
      </w:rPr>
      <w:t>The Board’s Annual Financial Audit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7BF0"/>
    <w:multiLevelType w:val="hybridMultilevel"/>
    <w:tmpl w:val="06845D4A"/>
    <w:lvl w:ilvl="0" w:tplc="4CF0FB78">
      <w:start w:val="4"/>
      <w:numFmt w:val="decimal"/>
      <w:lvlText w:val="%1."/>
      <w:lvlJc w:val="left"/>
      <w:pPr>
        <w:ind w:left="457" w:hanging="271"/>
        <w:jc w:val="left"/>
      </w:pPr>
      <w:rPr>
        <w:rFonts w:ascii="Helvetica LT" w:eastAsia="Helvetica LT" w:hAnsi="Helvetica LT" w:cs="Helvetica LT" w:hint="default"/>
        <w:color w:val="231F20"/>
        <w:w w:val="100"/>
        <w:sz w:val="22"/>
        <w:szCs w:val="22"/>
      </w:rPr>
    </w:lvl>
    <w:lvl w:ilvl="1" w:tplc="B112B14A">
      <w:start w:val="1"/>
      <w:numFmt w:val="lowerLetter"/>
      <w:lvlText w:val="%2."/>
      <w:lvlJc w:val="left"/>
      <w:pPr>
        <w:ind w:left="831" w:hanging="271"/>
        <w:jc w:val="left"/>
      </w:pPr>
      <w:rPr>
        <w:rFonts w:ascii="Helvetica LT" w:eastAsia="Helvetica LT" w:hAnsi="Helvetica LT" w:cs="Helvetica LT" w:hint="default"/>
        <w:color w:val="231F20"/>
        <w:w w:val="100"/>
        <w:sz w:val="22"/>
        <w:szCs w:val="22"/>
      </w:rPr>
    </w:lvl>
    <w:lvl w:ilvl="2" w:tplc="D6B8F3C6">
      <w:numFmt w:val="bullet"/>
      <w:lvlText w:val="•"/>
      <w:lvlJc w:val="left"/>
      <w:pPr>
        <w:ind w:left="1297" w:hanging="271"/>
      </w:pPr>
      <w:rPr>
        <w:rFonts w:hint="default"/>
      </w:rPr>
    </w:lvl>
    <w:lvl w:ilvl="3" w:tplc="9496DA88">
      <w:numFmt w:val="bullet"/>
      <w:lvlText w:val="•"/>
      <w:lvlJc w:val="left"/>
      <w:pPr>
        <w:ind w:left="1755" w:hanging="271"/>
      </w:pPr>
      <w:rPr>
        <w:rFonts w:hint="default"/>
      </w:rPr>
    </w:lvl>
    <w:lvl w:ilvl="4" w:tplc="2CA89FFE">
      <w:numFmt w:val="bullet"/>
      <w:lvlText w:val="•"/>
      <w:lvlJc w:val="left"/>
      <w:pPr>
        <w:ind w:left="2213" w:hanging="271"/>
      </w:pPr>
      <w:rPr>
        <w:rFonts w:hint="default"/>
      </w:rPr>
    </w:lvl>
    <w:lvl w:ilvl="5" w:tplc="767AA4F2">
      <w:numFmt w:val="bullet"/>
      <w:lvlText w:val="•"/>
      <w:lvlJc w:val="left"/>
      <w:pPr>
        <w:ind w:left="2670" w:hanging="271"/>
      </w:pPr>
      <w:rPr>
        <w:rFonts w:hint="default"/>
      </w:rPr>
    </w:lvl>
    <w:lvl w:ilvl="6" w:tplc="6100C610">
      <w:numFmt w:val="bullet"/>
      <w:lvlText w:val="•"/>
      <w:lvlJc w:val="left"/>
      <w:pPr>
        <w:ind w:left="3128" w:hanging="271"/>
      </w:pPr>
      <w:rPr>
        <w:rFonts w:hint="default"/>
      </w:rPr>
    </w:lvl>
    <w:lvl w:ilvl="7" w:tplc="049A0B6C">
      <w:numFmt w:val="bullet"/>
      <w:lvlText w:val="•"/>
      <w:lvlJc w:val="left"/>
      <w:pPr>
        <w:ind w:left="3586" w:hanging="271"/>
      </w:pPr>
      <w:rPr>
        <w:rFonts w:hint="default"/>
      </w:rPr>
    </w:lvl>
    <w:lvl w:ilvl="8" w:tplc="AE80E278">
      <w:numFmt w:val="bullet"/>
      <w:lvlText w:val="•"/>
      <w:lvlJc w:val="left"/>
      <w:pPr>
        <w:ind w:left="4043" w:hanging="271"/>
      </w:pPr>
      <w:rPr>
        <w:rFonts w:hint="default"/>
      </w:rPr>
    </w:lvl>
  </w:abstractNum>
  <w:abstractNum w:abstractNumId="1" w15:restartNumberingAfterBreak="0">
    <w:nsid w:val="384B44FC"/>
    <w:multiLevelType w:val="hybridMultilevel"/>
    <w:tmpl w:val="80B40A42"/>
    <w:lvl w:ilvl="0" w:tplc="C4BCE74A">
      <w:numFmt w:val="bullet"/>
      <w:lvlText w:val="❑"/>
      <w:lvlJc w:val="left"/>
      <w:pPr>
        <w:ind w:left="565" w:hanging="393"/>
      </w:pPr>
      <w:rPr>
        <w:rFonts w:ascii="MS PMincho" w:eastAsia="MS PMincho" w:hAnsi="MS PMincho" w:cs="MS PMincho" w:hint="default"/>
        <w:color w:val="231F20"/>
        <w:spacing w:val="-29"/>
        <w:w w:val="100"/>
        <w:sz w:val="22"/>
        <w:szCs w:val="22"/>
      </w:rPr>
    </w:lvl>
    <w:lvl w:ilvl="1" w:tplc="990C0886">
      <w:numFmt w:val="bullet"/>
      <w:lvlText w:val="•"/>
      <w:lvlJc w:val="left"/>
      <w:pPr>
        <w:ind w:left="1487" w:hanging="393"/>
      </w:pPr>
      <w:rPr>
        <w:rFonts w:hint="default"/>
      </w:rPr>
    </w:lvl>
    <w:lvl w:ilvl="2" w:tplc="7A103358">
      <w:numFmt w:val="bullet"/>
      <w:lvlText w:val="•"/>
      <w:lvlJc w:val="left"/>
      <w:pPr>
        <w:ind w:left="2414" w:hanging="393"/>
      </w:pPr>
      <w:rPr>
        <w:rFonts w:hint="default"/>
      </w:rPr>
    </w:lvl>
    <w:lvl w:ilvl="3" w:tplc="48B83484">
      <w:numFmt w:val="bullet"/>
      <w:lvlText w:val="•"/>
      <w:lvlJc w:val="left"/>
      <w:pPr>
        <w:ind w:left="3342" w:hanging="393"/>
      </w:pPr>
      <w:rPr>
        <w:rFonts w:hint="default"/>
      </w:rPr>
    </w:lvl>
    <w:lvl w:ilvl="4" w:tplc="FA58CC58">
      <w:numFmt w:val="bullet"/>
      <w:lvlText w:val="•"/>
      <w:lvlJc w:val="left"/>
      <w:pPr>
        <w:ind w:left="4269" w:hanging="393"/>
      </w:pPr>
      <w:rPr>
        <w:rFonts w:hint="default"/>
      </w:rPr>
    </w:lvl>
    <w:lvl w:ilvl="5" w:tplc="0AD8663A">
      <w:numFmt w:val="bullet"/>
      <w:lvlText w:val="•"/>
      <w:lvlJc w:val="left"/>
      <w:pPr>
        <w:ind w:left="5196" w:hanging="393"/>
      </w:pPr>
      <w:rPr>
        <w:rFonts w:hint="default"/>
      </w:rPr>
    </w:lvl>
    <w:lvl w:ilvl="6" w:tplc="31D63F2C">
      <w:numFmt w:val="bullet"/>
      <w:lvlText w:val="•"/>
      <w:lvlJc w:val="left"/>
      <w:pPr>
        <w:ind w:left="6124" w:hanging="393"/>
      </w:pPr>
      <w:rPr>
        <w:rFonts w:hint="default"/>
      </w:rPr>
    </w:lvl>
    <w:lvl w:ilvl="7" w:tplc="C8A28608">
      <w:numFmt w:val="bullet"/>
      <w:lvlText w:val="•"/>
      <w:lvlJc w:val="left"/>
      <w:pPr>
        <w:ind w:left="7051" w:hanging="393"/>
      </w:pPr>
      <w:rPr>
        <w:rFonts w:hint="default"/>
      </w:rPr>
    </w:lvl>
    <w:lvl w:ilvl="8" w:tplc="65F4C400">
      <w:numFmt w:val="bullet"/>
      <w:lvlText w:val="•"/>
      <w:lvlJc w:val="left"/>
      <w:pPr>
        <w:ind w:left="7978" w:hanging="39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17"/>
    <w:rsid w:val="00024ED0"/>
    <w:rsid w:val="00124075"/>
    <w:rsid w:val="001B4816"/>
    <w:rsid w:val="00210CA5"/>
    <w:rsid w:val="00224607"/>
    <w:rsid w:val="002C2EDC"/>
    <w:rsid w:val="003428F1"/>
    <w:rsid w:val="00374EAF"/>
    <w:rsid w:val="003C28E0"/>
    <w:rsid w:val="004108B3"/>
    <w:rsid w:val="004B3606"/>
    <w:rsid w:val="005A5F24"/>
    <w:rsid w:val="00634010"/>
    <w:rsid w:val="006C7F17"/>
    <w:rsid w:val="006F2139"/>
    <w:rsid w:val="00803582"/>
    <w:rsid w:val="0095250C"/>
    <w:rsid w:val="009F252B"/>
    <w:rsid w:val="00A453B6"/>
    <w:rsid w:val="00AB5FCE"/>
    <w:rsid w:val="00B80455"/>
    <w:rsid w:val="00BA36E5"/>
    <w:rsid w:val="00BF6980"/>
    <w:rsid w:val="00C052E4"/>
    <w:rsid w:val="00CB208B"/>
    <w:rsid w:val="00CE1651"/>
    <w:rsid w:val="00D44D75"/>
    <w:rsid w:val="00D9315A"/>
    <w:rsid w:val="00E24EE1"/>
    <w:rsid w:val="00F41266"/>
    <w:rsid w:val="00FC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4F581"/>
  <w15:docId w15:val="{467ACAC6-F793-534A-8DAC-17CCF9EA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4075"/>
    <w:rPr>
      <w:rFonts w:ascii="Helvetica" w:eastAsia="Helvetica LT" w:hAnsi="Helvetica" w:cs="Helvetica 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803582"/>
    <w:rPr>
      <w:sz w:val="20"/>
      <w:szCs w:val="20"/>
    </w:rPr>
  </w:style>
  <w:style w:type="character" w:customStyle="1" w:styleId="FootnoteTextChar">
    <w:name w:val="Footnote Text Char"/>
    <w:basedOn w:val="DefaultParagraphFont"/>
    <w:link w:val="FootnoteText"/>
    <w:uiPriority w:val="99"/>
    <w:semiHidden/>
    <w:rsid w:val="00803582"/>
    <w:rPr>
      <w:rFonts w:ascii="Helvetica LT" w:eastAsia="Helvetica LT" w:hAnsi="Helvetica LT" w:cs="Helvetica LT"/>
      <w:sz w:val="20"/>
      <w:szCs w:val="20"/>
    </w:rPr>
  </w:style>
  <w:style w:type="character" w:styleId="FootnoteReference">
    <w:name w:val="footnote reference"/>
    <w:basedOn w:val="DefaultParagraphFont"/>
    <w:uiPriority w:val="99"/>
    <w:semiHidden/>
    <w:unhideWhenUsed/>
    <w:rsid w:val="00803582"/>
    <w:rPr>
      <w:vertAlign w:val="superscript"/>
    </w:rPr>
  </w:style>
  <w:style w:type="table" w:styleId="TableGrid">
    <w:name w:val="Table Grid"/>
    <w:basedOn w:val="TableNormal"/>
    <w:uiPriority w:val="39"/>
    <w:rsid w:val="00803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FCE"/>
    <w:pPr>
      <w:tabs>
        <w:tab w:val="center" w:pos="4680"/>
        <w:tab w:val="right" w:pos="9360"/>
      </w:tabs>
    </w:pPr>
  </w:style>
  <w:style w:type="character" w:customStyle="1" w:styleId="HeaderChar">
    <w:name w:val="Header Char"/>
    <w:basedOn w:val="DefaultParagraphFont"/>
    <w:link w:val="Header"/>
    <w:uiPriority w:val="99"/>
    <w:rsid w:val="00AB5FCE"/>
    <w:rPr>
      <w:rFonts w:ascii="Helvetica LT" w:eastAsia="Helvetica LT" w:hAnsi="Helvetica LT" w:cs="Helvetica LT"/>
    </w:rPr>
  </w:style>
  <w:style w:type="paragraph" w:styleId="Footer">
    <w:name w:val="footer"/>
    <w:basedOn w:val="Normal"/>
    <w:link w:val="FooterChar"/>
    <w:uiPriority w:val="99"/>
    <w:unhideWhenUsed/>
    <w:rsid w:val="00AB5FCE"/>
    <w:pPr>
      <w:tabs>
        <w:tab w:val="center" w:pos="4680"/>
        <w:tab w:val="right" w:pos="9360"/>
      </w:tabs>
    </w:pPr>
  </w:style>
  <w:style w:type="character" w:customStyle="1" w:styleId="FooterChar">
    <w:name w:val="Footer Char"/>
    <w:basedOn w:val="DefaultParagraphFont"/>
    <w:link w:val="Footer"/>
    <w:uiPriority w:val="99"/>
    <w:rsid w:val="00AB5FCE"/>
    <w:rPr>
      <w:rFonts w:ascii="Helvetica LT" w:eastAsia="Helvetica LT" w:hAnsi="Helvetica LT" w:cs="Helvetica LT"/>
    </w:rPr>
  </w:style>
  <w:style w:type="character" w:styleId="PageNumber">
    <w:name w:val="page number"/>
    <w:basedOn w:val="DefaultParagraphFont"/>
    <w:uiPriority w:val="99"/>
    <w:semiHidden/>
    <w:unhideWhenUsed/>
    <w:rsid w:val="00210CA5"/>
  </w:style>
  <w:style w:type="character" w:styleId="Hyperlink">
    <w:name w:val="Hyperlink"/>
    <w:basedOn w:val="DefaultParagraphFont"/>
    <w:uiPriority w:val="99"/>
    <w:unhideWhenUsed/>
    <w:rsid w:val="006F2139"/>
    <w:rPr>
      <w:color w:val="0000FF" w:themeColor="hyperlink"/>
      <w:u w:val="single"/>
    </w:rPr>
  </w:style>
  <w:style w:type="character" w:styleId="UnresolvedMention">
    <w:name w:val="Unresolved Mention"/>
    <w:basedOn w:val="DefaultParagraphFont"/>
    <w:uiPriority w:val="99"/>
    <w:semiHidden/>
    <w:unhideWhenUsed/>
    <w:rsid w:val="006F2139"/>
    <w:rPr>
      <w:color w:val="605E5C"/>
      <w:shd w:val="clear" w:color="auto" w:fill="E1DFDD"/>
    </w:rPr>
  </w:style>
  <w:style w:type="character" w:styleId="FollowedHyperlink">
    <w:name w:val="FollowedHyperlink"/>
    <w:basedOn w:val="DefaultParagraphFont"/>
    <w:uiPriority w:val="99"/>
    <w:semiHidden/>
    <w:unhideWhenUsed/>
    <w:rsid w:val="004108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cfa.org/ToolsAndTemplates/Tool_06_Board_Annual_Financial_Management_Audit.pdfhttp:/www.ecfa.org/ToolsAndTemplates/Tool_06_Board_Annual_Financial_Management_Audi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FA.org/Contents/Comment6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A.org/Contents/Comment6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y/Documents/%20%20%20Book%20Projects/T&amp;T__Tools%20and%20Templates/T&amp;T%20Split/Template%20Template_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60833-4788-3B4F-9054-46A2280E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Template_aB.dotx</Template>
  <TotalTime>29</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Microsoft Office User</dc:creator>
  <cp:lastModifiedBy>Joy May</cp:lastModifiedBy>
  <cp:revision>8</cp:revision>
  <dcterms:created xsi:type="dcterms:W3CDTF">2019-08-22T19:33:00Z</dcterms:created>
  <dcterms:modified xsi:type="dcterms:W3CDTF">2019-09-11T21:20:00Z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QuarkXPress(R) 14.2</vt:lpwstr>
  </property>
  <property fmtid="{D5CDD505-2E9C-101B-9397-08002B2CF9AE}" pid="4" name="LastSaved">
    <vt:filetime>2019-08-21T00:00:00Z</vt:filetime>
  </property>
</Properties>
</file>