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2505" w14:textId="1D0B0D4C" w:rsidR="000C346B" w:rsidRPr="004874C7" w:rsidRDefault="006815E1" w:rsidP="000C346B">
      <w:pPr>
        <w:spacing w:before="146"/>
        <w:ind w:left="299"/>
        <w:rPr>
          <w:rFonts w:ascii="Helvetica" w:hAnsi="Helvetica"/>
          <w:b/>
          <w:sz w:val="26"/>
        </w:rPr>
      </w:pPr>
      <w:r>
        <w:rPr>
          <w:rFonts w:ascii="Helvetica" w:hAnsi="Helvetica"/>
          <w:noProof/>
          <w:sz w:val="24"/>
        </w:rPr>
        <w:drawing>
          <wp:anchor distT="0" distB="0" distL="114300" distR="114300" simplePos="0" relativeHeight="251662336" behindDoc="1" locked="0" layoutInCell="1" allowOverlap="1" wp14:anchorId="4C09DB40" wp14:editId="3C2E27D8">
            <wp:simplePos x="0" y="0"/>
            <wp:positionH relativeFrom="column">
              <wp:posOffset>5550694</wp:posOffset>
            </wp:positionH>
            <wp:positionV relativeFrom="paragraph">
              <wp:posOffset>-79217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46B" w:rsidRPr="004874C7">
        <w:rPr>
          <w:rFonts w:ascii="Helvetica" w:hAnsi="Helvetic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9F73F6" wp14:editId="1FEB32DD">
                <wp:simplePos x="0" y="0"/>
                <wp:positionH relativeFrom="page">
                  <wp:posOffset>800100</wp:posOffset>
                </wp:positionH>
                <wp:positionV relativeFrom="paragraph">
                  <wp:posOffset>279400</wp:posOffset>
                </wp:positionV>
                <wp:extent cx="64268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B7E5E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22pt" to="569.05pt,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" strokecolor="#231f20" strokeweight="1pt">
                <o:lock v:ext="edit" shapetype="f"/>
                <w10:wrap type="topAndBottom" anchorx="page"/>
              </v:line>
            </w:pict>
          </mc:Fallback>
        </mc:AlternateContent>
      </w:r>
      <w:r w:rsidR="000C346B" w:rsidRPr="004874C7">
        <w:rPr>
          <w:rFonts w:ascii="Helvetica" w:hAnsi="Helvetica"/>
          <w:b/>
          <w:color w:val="231F20"/>
          <w:sz w:val="28"/>
          <w:szCs w:val="24"/>
        </w:rPr>
        <w:t>The 6 D’s Criteria</w:t>
      </w:r>
    </w:p>
    <w:p w14:paraId="58402E05" w14:textId="10E07FA6" w:rsidR="000C346B" w:rsidRPr="004874C7" w:rsidRDefault="000C346B" w:rsidP="000C346B">
      <w:pPr>
        <w:spacing w:before="184" w:line="295" w:lineRule="auto"/>
        <w:ind w:left="299" w:right="173"/>
        <w:rPr>
          <w:rFonts w:ascii="Helvetica" w:hAnsi="Helvetica"/>
          <w:i/>
        </w:rPr>
      </w:pPr>
      <w:r w:rsidRPr="004874C7">
        <w:rPr>
          <w:rFonts w:ascii="Helvetica" w:hAnsi="Helvetica"/>
          <w:b/>
          <w:color w:val="231F20"/>
        </w:rPr>
        <w:t xml:space="preserve">Attn: Governance Committee: </w:t>
      </w:r>
      <w:r w:rsidRPr="004874C7">
        <w:rPr>
          <w:rFonts w:ascii="Helvetica" w:hAnsi="Helvetica"/>
          <w:color w:val="231F20"/>
        </w:rPr>
        <w:t xml:space="preserve">Review the Suggestion Forms for two or three applicants—and </w:t>
      </w:r>
      <w:r w:rsidR="006815E1">
        <w:rPr>
          <w:rFonts w:ascii="Helvetica" w:hAnsi="Helvetica"/>
          <w:color w:val="231F20"/>
        </w:rPr>
        <w:t xml:space="preserve">The </w:t>
      </w:r>
      <w:bookmarkStart w:id="0" w:name="_GoBack"/>
      <w:bookmarkEnd w:id="0"/>
      <w:r w:rsidRPr="004874C7">
        <w:rPr>
          <w:rFonts w:ascii="Helvetica" w:hAnsi="Helvetica"/>
          <w:color w:val="231F20"/>
        </w:rPr>
        <w:t xml:space="preserve">compare them to each other. </w:t>
      </w:r>
      <w:r w:rsidRPr="004874C7">
        <w:rPr>
          <w:rFonts w:ascii="Helvetica" w:hAnsi="Helvetica"/>
          <w:i/>
          <w:color w:val="231F20"/>
        </w:rPr>
        <w:t>What is God saying to you about them?</w:t>
      </w:r>
    </w:p>
    <w:p w14:paraId="313263BD" w14:textId="77777777" w:rsidR="000C346B" w:rsidRDefault="000C346B" w:rsidP="000C346B">
      <w:pPr>
        <w:spacing w:before="161" w:after="55"/>
        <w:ind w:left="564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49769" wp14:editId="6DD171BB">
                <wp:simplePos x="0" y="0"/>
                <wp:positionH relativeFrom="page">
                  <wp:posOffset>800100</wp:posOffset>
                </wp:positionH>
                <wp:positionV relativeFrom="paragraph">
                  <wp:posOffset>-12065</wp:posOffset>
                </wp:positionV>
                <wp:extent cx="64268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6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1FC4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-.95pt" to="569.05pt,-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" strokecolor="#231f20" strokeweight="1pt">
                <o:lock v:ext="edit" shapetype="f"/>
                <w10:wrap anchorx="page"/>
              </v:line>
            </w:pict>
          </mc:Fallback>
        </mc:AlternateContent>
      </w:r>
      <w:r>
        <w:rPr>
          <w:b/>
          <w:color w:val="231F20"/>
          <w:sz w:val="20"/>
        </w:rPr>
        <w:t>Rate Applicants on a Scale of 1 to 10 (10 is high):</w:t>
      </w:r>
    </w:p>
    <w:p w14:paraId="75290F0A" w14:textId="77777777" w:rsidR="00A453B6" w:rsidRDefault="00A453B6" w:rsidP="000C346B">
      <w:pPr>
        <w:spacing w:before="3"/>
        <w:rPr>
          <w:sz w:val="24"/>
        </w:rPr>
      </w:pPr>
    </w:p>
    <w:tbl>
      <w:tblPr>
        <w:tblW w:w="9989" w:type="dxa"/>
        <w:tblInd w:w="416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3"/>
        <w:gridCol w:w="1451"/>
        <w:gridCol w:w="1426"/>
        <w:gridCol w:w="25"/>
        <w:gridCol w:w="1434"/>
      </w:tblGrid>
      <w:tr w:rsidR="000C346B" w14:paraId="68D2C5B4" w14:textId="77777777" w:rsidTr="00720DC2">
        <w:trPr>
          <w:trHeight w:val="608"/>
        </w:trPr>
        <w:tc>
          <w:tcPr>
            <w:tcW w:w="5653" w:type="dxa"/>
          </w:tcPr>
          <w:p w14:paraId="4332FA7A" w14:textId="77777777" w:rsidR="000C346B" w:rsidRDefault="000C346B" w:rsidP="00D46659">
            <w:pPr>
              <w:pStyle w:val="TableParagraph"/>
              <w:spacing w:before="206"/>
              <w:ind w:left="99"/>
              <w:rPr>
                <w:sz w:val="14"/>
              </w:rPr>
            </w:pPr>
            <w:r>
              <w:rPr>
                <w:b/>
                <w:color w:val="231F20"/>
              </w:rPr>
              <w:t>Board Nominees Must Meet our 6 D’s Criteria</w:t>
            </w:r>
            <w:r>
              <w:rPr>
                <w:rStyle w:val="FootnoteReference"/>
                <w:b/>
                <w:color w:val="231F20"/>
              </w:rPr>
              <w:footnoteReference w:id="1"/>
            </w:r>
            <w:r>
              <w:rPr>
                <w:b/>
                <w:color w:val="231F20"/>
              </w:rPr>
              <w:t xml:space="preserve"> </w:t>
            </w:r>
          </w:p>
        </w:tc>
        <w:tc>
          <w:tcPr>
            <w:tcW w:w="1451" w:type="dxa"/>
          </w:tcPr>
          <w:p w14:paraId="15C0004D" w14:textId="77777777" w:rsidR="000C346B" w:rsidRDefault="000C346B" w:rsidP="00D46659">
            <w:pPr>
              <w:pStyle w:val="TableParagraph"/>
              <w:spacing w:before="73"/>
              <w:ind w:left="212" w:right="154"/>
              <w:jc w:val="center"/>
              <w:rPr>
                <w:b/>
              </w:rPr>
            </w:pPr>
            <w:r>
              <w:rPr>
                <w:b/>
                <w:color w:val="231F20"/>
              </w:rPr>
              <w:t>Applicant</w:t>
            </w:r>
          </w:p>
          <w:p w14:paraId="01D8459F" w14:textId="77777777" w:rsidR="000C346B" w:rsidRDefault="000C346B" w:rsidP="00D46659">
            <w:pPr>
              <w:pStyle w:val="TableParagraph"/>
              <w:spacing w:before="51"/>
              <w:ind w:left="212" w:right="154"/>
              <w:jc w:val="center"/>
              <w:rPr>
                <w:b/>
              </w:rPr>
            </w:pPr>
            <w:r>
              <w:rPr>
                <w:b/>
                <w:color w:val="231F20"/>
              </w:rPr>
              <w:t>#1</w:t>
            </w:r>
          </w:p>
        </w:tc>
        <w:tc>
          <w:tcPr>
            <w:tcW w:w="1451" w:type="dxa"/>
            <w:gridSpan w:val="2"/>
          </w:tcPr>
          <w:p w14:paraId="60F3885A" w14:textId="77777777" w:rsidR="000C346B" w:rsidRDefault="000C346B" w:rsidP="00D46659">
            <w:pPr>
              <w:pStyle w:val="TableParagraph"/>
              <w:spacing w:before="73"/>
              <w:ind w:left="212" w:right="155"/>
              <w:jc w:val="center"/>
              <w:rPr>
                <w:b/>
              </w:rPr>
            </w:pPr>
            <w:r>
              <w:rPr>
                <w:b/>
                <w:color w:val="231F20"/>
              </w:rPr>
              <w:t>Applicant</w:t>
            </w:r>
          </w:p>
          <w:p w14:paraId="79C2C940" w14:textId="77777777" w:rsidR="000C346B" w:rsidRDefault="000C346B" w:rsidP="00D46659">
            <w:pPr>
              <w:pStyle w:val="TableParagraph"/>
              <w:spacing w:before="51"/>
              <w:ind w:left="212" w:right="155"/>
              <w:jc w:val="center"/>
              <w:rPr>
                <w:b/>
              </w:rPr>
            </w:pPr>
            <w:r>
              <w:rPr>
                <w:b/>
                <w:color w:val="231F20"/>
              </w:rPr>
              <w:t>#2</w:t>
            </w:r>
          </w:p>
        </w:tc>
        <w:tc>
          <w:tcPr>
            <w:tcW w:w="1434" w:type="dxa"/>
          </w:tcPr>
          <w:p w14:paraId="40AF83F3" w14:textId="77777777" w:rsidR="000C346B" w:rsidRDefault="000C346B" w:rsidP="00D46659">
            <w:pPr>
              <w:pStyle w:val="TableParagraph"/>
              <w:spacing w:before="73"/>
              <w:ind w:left="211" w:right="155"/>
              <w:jc w:val="center"/>
              <w:rPr>
                <w:b/>
              </w:rPr>
            </w:pPr>
            <w:r>
              <w:rPr>
                <w:b/>
                <w:color w:val="231F20"/>
              </w:rPr>
              <w:t>Applicant</w:t>
            </w:r>
          </w:p>
          <w:p w14:paraId="2865EA1B" w14:textId="77777777" w:rsidR="000C346B" w:rsidRDefault="000C346B" w:rsidP="00D46659">
            <w:pPr>
              <w:pStyle w:val="TableParagraph"/>
              <w:spacing w:before="51"/>
              <w:ind w:left="211" w:right="155"/>
              <w:jc w:val="center"/>
              <w:rPr>
                <w:b/>
              </w:rPr>
            </w:pPr>
            <w:r>
              <w:rPr>
                <w:b/>
                <w:color w:val="231F20"/>
              </w:rPr>
              <w:t>#3</w:t>
            </w:r>
          </w:p>
        </w:tc>
      </w:tr>
      <w:tr w:rsidR="000C346B" w14:paraId="4699ED11" w14:textId="77777777" w:rsidTr="00720DC2">
        <w:trPr>
          <w:trHeight w:val="1153"/>
        </w:trPr>
        <w:tc>
          <w:tcPr>
            <w:tcW w:w="5653" w:type="dxa"/>
          </w:tcPr>
          <w:p w14:paraId="78F7778F" w14:textId="77777777" w:rsidR="000C346B" w:rsidRPr="004874C7" w:rsidRDefault="000C346B" w:rsidP="000C346B">
            <w:pPr>
              <w:pStyle w:val="TableParagraph"/>
              <w:spacing w:before="40" w:after="40" w:line="264" w:lineRule="auto"/>
              <w:ind w:left="446" w:right="357" w:hanging="247"/>
              <w:rPr>
                <w:sz w:val="22"/>
              </w:rPr>
            </w:pPr>
            <w:r w:rsidRPr="004874C7">
              <w:rPr>
                <w:b/>
                <w:color w:val="231F20"/>
                <w:sz w:val="22"/>
              </w:rPr>
              <w:t xml:space="preserve">1. </w:t>
            </w:r>
            <w:r w:rsidRPr="004874C7">
              <w:rPr>
                <w:b/>
                <w:color w:val="231F20"/>
                <w:sz w:val="28"/>
                <w:szCs w:val="28"/>
              </w:rPr>
              <w:t>D</w:t>
            </w:r>
            <w:r w:rsidRPr="004874C7">
              <w:rPr>
                <w:b/>
                <w:color w:val="231F20"/>
                <w:sz w:val="22"/>
              </w:rPr>
              <w:t xml:space="preserve">iscerning Decision-Maker: </w:t>
            </w:r>
            <w:r w:rsidRPr="004874C7">
              <w:rPr>
                <w:color w:val="231F20"/>
                <w:sz w:val="22"/>
              </w:rPr>
              <w:t xml:space="preserve">Prior experience in making wise </w:t>
            </w:r>
            <w:r w:rsidRPr="004874C7">
              <w:rPr>
                <w:color w:val="231F20"/>
                <w:spacing w:val="-4"/>
                <w:sz w:val="22"/>
              </w:rPr>
              <w:t xml:space="preserve">policy, </w:t>
            </w:r>
            <w:r w:rsidRPr="004874C7">
              <w:rPr>
                <w:color w:val="231F20"/>
                <w:sz w:val="22"/>
              </w:rPr>
              <w:t>financial, strategy and personnel decisions. (</w:t>
            </w:r>
            <w:r w:rsidRPr="004874C7">
              <w:rPr>
                <w:i/>
                <w:color w:val="231F20"/>
                <w:sz w:val="22"/>
              </w:rPr>
              <w:t>Is this person competent</w:t>
            </w:r>
            <w:r w:rsidRPr="004874C7">
              <w:rPr>
                <w:i/>
                <w:color w:val="231F20"/>
                <w:spacing w:val="-18"/>
                <w:sz w:val="22"/>
              </w:rPr>
              <w:t xml:space="preserve"> </w:t>
            </w:r>
            <w:r w:rsidRPr="004874C7">
              <w:rPr>
                <w:i/>
                <w:color w:val="231F20"/>
                <w:sz w:val="22"/>
              </w:rPr>
              <w:t>in both hiring and firing situations?</w:t>
            </w:r>
            <w:r w:rsidRPr="004874C7">
              <w:rPr>
                <w:color w:val="231F20"/>
                <w:sz w:val="22"/>
              </w:rPr>
              <w:t>)</w:t>
            </w:r>
          </w:p>
        </w:tc>
        <w:tc>
          <w:tcPr>
            <w:tcW w:w="1451" w:type="dxa"/>
            <w:vAlign w:val="center"/>
          </w:tcPr>
          <w:p w14:paraId="48B29BBD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070D85FE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CDA1D11" w14:textId="77777777" w:rsidR="000C346B" w:rsidRDefault="000C346B" w:rsidP="00D46659">
            <w:pPr>
              <w:pStyle w:val="TableParagraph"/>
              <w:ind w:left="176" w:right="-157"/>
              <w:rPr>
                <w:rFonts w:ascii="Times New Roman"/>
              </w:rPr>
            </w:pPr>
          </w:p>
        </w:tc>
      </w:tr>
      <w:tr w:rsidR="000C346B" w14:paraId="63BA6023" w14:textId="77777777" w:rsidTr="00720DC2">
        <w:trPr>
          <w:trHeight w:val="845"/>
        </w:trPr>
        <w:tc>
          <w:tcPr>
            <w:tcW w:w="5653" w:type="dxa"/>
          </w:tcPr>
          <w:p w14:paraId="1A28817D" w14:textId="77777777" w:rsidR="000C346B" w:rsidRPr="004874C7" w:rsidRDefault="000C346B" w:rsidP="000C346B">
            <w:pPr>
              <w:pStyle w:val="TableParagraph"/>
              <w:spacing w:before="40" w:after="40" w:line="264" w:lineRule="auto"/>
              <w:ind w:left="446" w:hanging="247"/>
              <w:rPr>
                <w:sz w:val="22"/>
              </w:rPr>
            </w:pPr>
            <w:r w:rsidRPr="004874C7">
              <w:rPr>
                <w:b/>
                <w:color w:val="231F20"/>
                <w:sz w:val="22"/>
              </w:rPr>
              <w:t xml:space="preserve">2. </w:t>
            </w:r>
            <w:r w:rsidRPr="004874C7">
              <w:rPr>
                <w:b/>
                <w:color w:val="231F20"/>
                <w:sz w:val="28"/>
                <w:szCs w:val="28"/>
              </w:rPr>
              <w:t>D</w:t>
            </w:r>
            <w:r w:rsidRPr="004874C7">
              <w:rPr>
                <w:b/>
                <w:color w:val="231F20"/>
                <w:sz w:val="22"/>
              </w:rPr>
              <w:t xml:space="preserve">emonstrated Passion: </w:t>
            </w:r>
            <w:r w:rsidRPr="004874C7">
              <w:rPr>
                <w:color w:val="231F20"/>
                <w:sz w:val="22"/>
              </w:rPr>
              <w:t>Gives high priority to and cares deeply about our cause. (Limits board service to one or two boards at a time.)</w:t>
            </w:r>
          </w:p>
        </w:tc>
        <w:tc>
          <w:tcPr>
            <w:tcW w:w="1451" w:type="dxa"/>
            <w:vAlign w:val="center"/>
          </w:tcPr>
          <w:p w14:paraId="1EFC69DC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5475E168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49552D5F" w14:textId="77777777" w:rsidR="000C346B" w:rsidRDefault="000C346B" w:rsidP="00D46659">
            <w:pPr>
              <w:pStyle w:val="TableParagraph"/>
              <w:ind w:left="176" w:right="-157"/>
              <w:rPr>
                <w:rFonts w:ascii="Times New Roman"/>
              </w:rPr>
            </w:pPr>
          </w:p>
        </w:tc>
      </w:tr>
      <w:tr w:rsidR="000C346B" w14:paraId="3CDB3DC8" w14:textId="77777777" w:rsidTr="00720DC2">
        <w:trPr>
          <w:trHeight w:val="1116"/>
        </w:trPr>
        <w:tc>
          <w:tcPr>
            <w:tcW w:w="5653" w:type="dxa"/>
          </w:tcPr>
          <w:p w14:paraId="00071BA0" w14:textId="77777777" w:rsidR="000C346B" w:rsidRPr="004874C7" w:rsidRDefault="000C346B" w:rsidP="000C346B">
            <w:pPr>
              <w:pStyle w:val="TableParagraph"/>
              <w:spacing w:before="40" w:after="40" w:line="264" w:lineRule="auto"/>
              <w:ind w:left="446" w:right="40" w:hanging="247"/>
              <w:rPr>
                <w:sz w:val="22"/>
              </w:rPr>
            </w:pPr>
            <w:r w:rsidRPr="004874C7">
              <w:rPr>
                <w:b/>
                <w:color w:val="231F20"/>
                <w:sz w:val="22"/>
              </w:rPr>
              <w:t xml:space="preserve">3. </w:t>
            </w:r>
            <w:r w:rsidRPr="004874C7">
              <w:rPr>
                <w:b/>
                <w:color w:val="231F20"/>
                <w:sz w:val="28"/>
                <w:szCs w:val="28"/>
              </w:rPr>
              <w:t>D</w:t>
            </w:r>
            <w:r w:rsidRPr="004874C7">
              <w:rPr>
                <w:b/>
                <w:color w:val="231F20"/>
                <w:sz w:val="22"/>
              </w:rPr>
              <w:t xml:space="preserve">ocumented </w:t>
            </w:r>
            <w:r w:rsidRPr="004874C7">
              <w:rPr>
                <w:b/>
                <w:color w:val="231F20"/>
                <w:spacing w:val="-7"/>
                <w:sz w:val="22"/>
              </w:rPr>
              <w:t xml:space="preserve">Team </w:t>
            </w:r>
            <w:r w:rsidRPr="004874C7">
              <w:rPr>
                <w:b/>
                <w:color w:val="231F20"/>
                <w:sz w:val="22"/>
              </w:rPr>
              <w:t xml:space="preserve">Player: </w:t>
            </w:r>
            <w:r w:rsidRPr="004874C7">
              <w:rPr>
                <w:color w:val="231F20"/>
                <w:sz w:val="22"/>
              </w:rPr>
              <w:t xml:space="preserve">Competent in group process skills, effective listener; leverages own spiritual gifts and those of others (Rom. 12, Eph. 4, 1 </w:t>
            </w:r>
            <w:r w:rsidRPr="004874C7">
              <w:rPr>
                <w:color w:val="231F20"/>
                <w:spacing w:val="-5"/>
                <w:sz w:val="22"/>
              </w:rPr>
              <w:t xml:space="preserve">Cor. </w:t>
            </w:r>
            <w:r w:rsidRPr="004874C7">
              <w:rPr>
                <w:color w:val="231F20"/>
                <w:spacing w:val="-3"/>
                <w:sz w:val="22"/>
              </w:rPr>
              <w:t xml:space="preserve">12). Knows </w:t>
            </w:r>
            <w:r w:rsidRPr="004874C7">
              <w:rPr>
                <w:color w:val="231F20"/>
                <w:sz w:val="22"/>
              </w:rPr>
              <w:t xml:space="preserve">and </w:t>
            </w:r>
            <w:r w:rsidRPr="004874C7">
              <w:rPr>
                <w:color w:val="231F20"/>
                <w:spacing w:val="-5"/>
                <w:sz w:val="22"/>
              </w:rPr>
              <w:t xml:space="preserve">leverages </w:t>
            </w:r>
            <w:r w:rsidRPr="004874C7">
              <w:rPr>
                <w:color w:val="231F20"/>
                <w:sz w:val="22"/>
              </w:rPr>
              <w:t xml:space="preserve">his or her </w:t>
            </w:r>
            <w:r w:rsidRPr="004874C7">
              <w:rPr>
                <w:color w:val="231F20"/>
                <w:spacing w:val="-3"/>
                <w:sz w:val="22"/>
              </w:rPr>
              <w:t>strengths.</w:t>
            </w:r>
          </w:p>
        </w:tc>
        <w:tc>
          <w:tcPr>
            <w:tcW w:w="1451" w:type="dxa"/>
            <w:vAlign w:val="center"/>
          </w:tcPr>
          <w:p w14:paraId="2BBB74BC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517A1F32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50BB2E7" w14:textId="77777777" w:rsidR="000C346B" w:rsidRDefault="000C346B" w:rsidP="00D46659">
            <w:pPr>
              <w:pStyle w:val="TableParagraph"/>
              <w:ind w:left="176" w:right="-157"/>
              <w:rPr>
                <w:rFonts w:ascii="Times New Roman"/>
              </w:rPr>
            </w:pPr>
          </w:p>
        </w:tc>
      </w:tr>
      <w:tr w:rsidR="000C346B" w14:paraId="1A4C2C6F" w14:textId="77777777" w:rsidTr="00720DC2">
        <w:trPr>
          <w:trHeight w:val="1150"/>
        </w:trPr>
        <w:tc>
          <w:tcPr>
            <w:tcW w:w="5653" w:type="dxa"/>
          </w:tcPr>
          <w:p w14:paraId="41DDF0C8" w14:textId="1450B370" w:rsidR="000C346B" w:rsidRPr="004874C7" w:rsidRDefault="000C346B" w:rsidP="000C346B">
            <w:pPr>
              <w:pStyle w:val="TableParagraph"/>
              <w:spacing w:before="40" w:after="40" w:line="264" w:lineRule="auto"/>
              <w:ind w:left="446" w:hanging="247"/>
              <w:rPr>
                <w:sz w:val="22"/>
              </w:rPr>
            </w:pPr>
            <w:r w:rsidRPr="004874C7">
              <w:rPr>
                <w:b/>
                <w:color w:val="231F20"/>
                <w:sz w:val="22"/>
              </w:rPr>
              <w:t xml:space="preserve">4. </w:t>
            </w:r>
            <w:r w:rsidR="004874C7" w:rsidRPr="004874C7">
              <w:rPr>
                <w:b/>
                <w:color w:val="231F20"/>
                <w:sz w:val="28"/>
                <w:szCs w:val="28"/>
              </w:rPr>
              <w:t>D</w:t>
            </w:r>
            <w:r w:rsidRPr="004874C7">
              <w:rPr>
                <w:b/>
                <w:color w:val="231F20"/>
                <w:sz w:val="22"/>
              </w:rPr>
              <w:t xml:space="preserve">iligent and Faithful Participant: </w:t>
            </w:r>
            <w:r w:rsidRPr="004874C7">
              <w:rPr>
                <w:color w:val="231F20"/>
                <w:sz w:val="22"/>
              </w:rPr>
              <w:t>Documented history of fulfilling our volunteer assignments (if applicable) on schedule and under budget. Keeps promises and keeps confidences. Inspires others.</w:t>
            </w:r>
          </w:p>
        </w:tc>
        <w:tc>
          <w:tcPr>
            <w:tcW w:w="1451" w:type="dxa"/>
            <w:vAlign w:val="center"/>
          </w:tcPr>
          <w:p w14:paraId="7A6AFB4D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7537A039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20A903B" w14:textId="77777777" w:rsidR="000C346B" w:rsidRDefault="000C346B" w:rsidP="00D46659">
            <w:pPr>
              <w:pStyle w:val="TableParagraph"/>
              <w:ind w:left="176" w:right="-157"/>
              <w:rPr>
                <w:rFonts w:ascii="Times New Roman"/>
              </w:rPr>
            </w:pPr>
          </w:p>
        </w:tc>
      </w:tr>
      <w:tr w:rsidR="000C346B" w14:paraId="2D554470" w14:textId="77777777" w:rsidTr="00720DC2">
        <w:trPr>
          <w:trHeight w:val="1164"/>
        </w:trPr>
        <w:tc>
          <w:tcPr>
            <w:tcW w:w="5653" w:type="dxa"/>
          </w:tcPr>
          <w:p w14:paraId="081D5BBB" w14:textId="314A5A68" w:rsidR="000C346B" w:rsidRPr="004874C7" w:rsidRDefault="000C346B" w:rsidP="004874C7">
            <w:pPr>
              <w:pStyle w:val="TableParagraph"/>
              <w:spacing w:before="40" w:after="40" w:line="264" w:lineRule="auto"/>
              <w:ind w:left="446" w:right="398" w:hanging="247"/>
              <w:rPr>
                <w:sz w:val="22"/>
              </w:rPr>
            </w:pPr>
            <w:r w:rsidRPr="004874C7">
              <w:rPr>
                <w:b/>
                <w:color w:val="231F20"/>
                <w:sz w:val="22"/>
              </w:rPr>
              <w:t xml:space="preserve">5. </w:t>
            </w:r>
            <w:r w:rsidR="004874C7" w:rsidRPr="004874C7">
              <w:rPr>
                <w:b/>
                <w:color w:val="231F20"/>
                <w:sz w:val="28"/>
                <w:szCs w:val="28"/>
              </w:rPr>
              <w:t>D</w:t>
            </w:r>
            <w:r w:rsidRPr="004874C7">
              <w:rPr>
                <w:b/>
                <w:color w:val="231F20"/>
                <w:sz w:val="22"/>
              </w:rPr>
              <w:t xml:space="preserve">oer: Walks the Talk! </w:t>
            </w:r>
            <w:r w:rsidRPr="004874C7">
              <w:rPr>
                <w:color w:val="231F20"/>
                <w:sz w:val="22"/>
              </w:rPr>
              <w:t>Reference checks affirm a God-honoring lifestyle and character. Humble,</w:t>
            </w:r>
            <w:r w:rsidR="004874C7">
              <w:rPr>
                <w:color w:val="231F20"/>
                <w:sz w:val="22"/>
              </w:rPr>
              <w:t xml:space="preserve"> </w:t>
            </w:r>
            <w:r w:rsidRPr="004874C7">
              <w:rPr>
                <w:color w:val="231F20"/>
                <w:sz w:val="22"/>
              </w:rPr>
              <w:t>prayerful, high integrity in all relationships. Affirms our statement of faith.</w:t>
            </w:r>
          </w:p>
        </w:tc>
        <w:tc>
          <w:tcPr>
            <w:tcW w:w="1451" w:type="dxa"/>
            <w:vAlign w:val="center"/>
          </w:tcPr>
          <w:p w14:paraId="6954D0CD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75DB2754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380C011" w14:textId="77777777" w:rsidR="000C346B" w:rsidRDefault="000C346B" w:rsidP="00D46659">
            <w:pPr>
              <w:pStyle w:val="TableParagraph"/>
              <w:ind w:left="176" w:right="-157"/>
              <w:rPr>
                <w:rFonts w:ascii="Times New Roman"/>
              </w:rPr>
            </w:pPr>
          </w:p>
        </w:tc>
      </w:tr>
      <w:tr w:rsidR="000C346B" w14:paraId="10A20A3F" w14:textId="77777777" w:rsidTr="00720DC2">
        <w:trPr>
          <w:trHeight w:val="1948"/>
        </w:trPr>
        <w:tc>
          <w:tcPr>
            <w:tcW w:w="5653" w:type="dxa"/>
          </w:tcPr>
          <w:p w14:paraId="3B2F44B2" w14:textId="69F3CBDF" w:rsidR="000C346B" w:rsidRPr="004874C7" w:rsidRDefault="000C346B" w:rsidP="000C346B">
            <w:pPr>
              <w:pStyle w:val="TableParagraph"/>
              <w:spacing w:before="40" w:after="40" w:line="264" w:lineRule="auto"/>
              <w:ind w:left="446" w:right="134" w:hanging="247"/>
              <w:rPr>
                <w:sz w:val="22"/>
              </w:rPr>
            </w:pPr>
            <w:r w:rsidRPr="004874C7">
              <w:rPr>
                <w:b/>
                <w:color w:val="231F20"/>
                <w:sz w:val="22"/>
              </w:rPr>
              <w:t xml:space="preserve">6. </w:t>
            </w:r>
            <w:r w:rsidR="004874C7" w:rsidRPr="004874C7">
              <w:rPr>
                <w:b/>
                <w:color w:val="231F20"/>
                <w:sz w:val="28"/>
                <w:szCs w:val="28"/>
              </w:rPr>
              <w:t>D</w:t>
            </w:r>
            <w:r w:rsidRPr="004874C7">
              <w:rPr>
                <w:b/>
                <w:color w:val="231F20"/>
                <w:sz w:val="22"/>
              </w:rPr>
              <w:t xml:space="preserve">onor: </w:t>
            </w:r>
            <w:r w:rsidRPr="004874C7">
              <w:rPr>
                <w:color w:val="231F20"/>
                <w:sz w:val="22"/>
              </w:rPr>
              <w:t xml:space="preserve">Because Jesus said in Matthew 6:21, “Where your treasure is, there your heart will be also,” this board prospect is </w:t>
            </w:r>
            <w:r w:rsidRPr="004874C7">
              <w:rPr>
                <w:i/>
                <w:color w:val="231F20"/>
                <w:sz w:val="22"/>
              </w:rPr>
              <w:t xml:space="preserve">already </w:t>
            </w:r>
            <w:r w:rsidRPr="004874C7">
              <w:rPr>
                <w:color w:val="231F20"/>
                <w:sz w:val="22"/>
              </w:rPr>
              <w:t>a generous giver to our ministry. (Note: Many organizations define “generous” as prioritizing your organization in the Top-3 of a person’s annual giving. Board members at all income levels can be generous.)</w:t>
            </w:r>
          </w:p>
        </w:tc>
        <w:tc>
          <w:tcPr>
            <w:tcW w:w="1451" w:type="dxa"/>
            <w:vAlign w:val="center"/>
          </w:tcPr>
          <w:p w14:paraId="1F6B297F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26" w:type="dxa"/>
            <w:vAlign w:val="center"/>
          </w:tcPr>
          <w:p w14:paraId="6D23B5E4" w14:textId="77777777" w:rsidR="000C346B" w:rsidRDefault="000C346B" w:rsidP="00D46659">
            <w:pPr>
              <w:pStyle w:val="TableParagraph"/>
              <w:ind w:left="139" w:right="-157"/>
              <w:rPr>
                <w:rFonts w:ascii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E05D3FB" w14:textId="77777777" w:rsidR="000C346B" w:rsidRDefault="000C346B" w:rsidP="00D46659">
            <w:pPr>
              <w:pStyle w:val="TableParagraph"/>
              <w:ind w:left="176" w:right="-157"/>
              <w:rPr>
                <w:rFonts w:ascii="Times New Roman"/>
              </w:rPr>
            </w:pPr>
          </w:p>
        </w:tc>
      </w:tr>
    </w:tbl>
    <w:p w14:paraId="336FBFFF" w14:textId="77777777" w:rsidR="000C346B" w:rsidRDefault="000C346B" w:rsidP="00720DC2">
      <w:pPr>
        <w:rPr>
          <w:i/>
        </w:rPr>
      </w:pPr>
    </w:p>
    <w:tbl>
      <w:tblPr>
        <w:tblStyle w:val="TableGrid"/>
        <w:tblW w:w="9934" w:type="dxa"/>
        <w:tblInd w:w="4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0C346B" w14:paraId="161D2956" w14:textId="77777777" w:rsidTr="00720DC2">
        <w:trPr>
          <w:trHeight w:val="1333"/>
        </w:trPr>
        <w:tc>
          <w:tcPr>
            <w:tcW w:w="9934" w:type="dxa"/>
          </w:tcPr>
          <w:p w14:paraId="61255A73" w14:textId="77777777" w:rsidR="000C346B" w:rsidRPr="004874C7" w:rsidRDefault="000C346B" w:rsidP="00720DC2">
            <w:pPr>
              <w:pStyle w:val="TableParagraph"/>
              <w:spacing w:before="80" w:line="204" w:lineRule="exact"/>
              <w:ind w:left="115"/>
              <w:rPr>
                <w:b/>
                <w:sz w:val="22"/>
              </w:rPr>
            </w:pPr>
            <w:r w:rsidRPr="004874C7">
              <w:rPr>
                <w:b/>
                <w:color w:val="231F20"/>
                <w:sz w:val="22"/>
              </w:rPr>
              <w:t>Other criteria could include:</w:t>
            </w:r>
          </w:p>
          <w:p w14:paraId="710BCC2F" w14:textId="77777777" w:rsidR="000C346B" w:rsidRPr="004874C7" w:rsidRDefault="000C346B" w:rsidP="00D46659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  <w:tab w:val="left" w:pos="6850"/>
                <w:tab w:val="left" w:pos="9419"/>
              </w:tabs>
              <w:spacing w:beforeLines="80" w:before="192"/>
              <w:ind w:left="562" w:hanging="270"/>
              <w:rPr>
                <w:rFonts w:ascii="Arial"/>
                <w:sz w:val="22"/>
              </w:rPr>
            </w:pPr>
            <w:r w:rsidRPr="004874C7">
              <w:rPr>
                <w:rFonts w:ascii="Arial"/>
                <w:color w:val="231F20"/>
                <w:sz w:val="22"/>
              </w:rPr>
              <w:t>Highly knowledgeable and/or</w:t>
            </w:r>
            <w:r w:rsidRPr="004874C7">
              <w:rPr>
                <w:rFonts w:ascii="Arial"/>
                <w:color w:val="231F20"/>
                <w:spacing w:val="-3"/>
                <w:sz w:val="22"/>
              </w:rPr>
              <w:t xml:space="preserve"> </w:t>
            </w:r>
            <w:r w:rsidRPr="004874C7">
              <w:rPr>
                <w:rFonts w:ascii="Arial"/>
                <w:color w:val="231F20"/>
                <w:sz w:val="22"/>
              </w:rPr>
              <w:t>competent</w:t>
            </w:r>
            <w:r w:rsidRPr="004874C7">
              <w:rPr>
                <w:rFonts w:ascii="Arial"/>
                <w:color w:val="231F20"/>
                <w:spacing w:val="-1"/>
                <w:sz w:val="22"/>
              </w:rPr>
              <w:t xml:space="preserve"> </w:t>
            </w:r>
            <w:r w:rsidRPr="004874C7">
              <w:rPr>
                <w:rFonts w:ascii="Arial"/>
                <w:color w:val="231F20"/>
                <w:sz w:val="22"/>
              </w:rPr>
              <w:t>in</w:t>
            </w:r>
            <w:r w:rsidRPr="004874C7">
              <w:rPr>
                <w:rFonts w:ascii="Arial"/>
                <w:color w:val="231F20"/>
                <w:sz w:val="22"/>
                <w:u w:val="single" w:color="221E1F"/>
              </w:rPr>
              <w:tab/>
            </w:r>
            <w:r w:rsidRPr="004874C7">
              <w:rPr>
                <w:rFonts w:ascii="Arial"/>
                <w:color w:val="231F20"/>
                <w:sz w:val="22"/>
              </w:rPr>
              <w:t>and</w:t>
            </w:r>
            <w:r w:rsidRPr="004874C7">
              <w:rPr>
                <w:rFonts w:ascii="Arial"/>
                <w:color w:val="231F20"/>
                <w:sz w:val="22"/>
                <w:u w:val="single" w:color="221E1F"/>
              </w:rPr>
              <w:t xml:space="preserve"> </w:t>
            </w:r>
            <w:r w:rsidRPr="004874C7">
              <w:rPr>
                <w:rFonts w:ascii="Arial"/>
                <w:color w:val="231F20"/>
                <w:sz w:val="22"/>
                <w:u w:val="single" w:color="221E1F"/>
              </w:rPr>
              <w:tab/>
            </w:r>
            <w:r w:rsidRPr="004874C7">
              <w:rPr>
                <w:rFonts w:ascii="Arial"/>
                <w:color w:val="231F20"/>
                <w:sz w:val="22"/>
              </w:rPr>
              <w:t>.</w:t>
            </w:r>
          </w:p>
          <w:p w14:paraId="6CA5222E" w14:textId="77777777" w:rsidR="000C346B" w:rsidRPr="004874C7" w:rsidRDefault="000C346B" w:rsidP="00D46659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  <w:tab w:val="left" w:pos="9393"/>
              </w:tabs>
              <w:spacing w:beforeLines="80" w:before="192"/>
              <w:ind w:left="562" w:hanging="270"/>
              <w:rPr>
                <w:rFonts w:ascii="Arial"/>
                <w:sz w:val="22"/>
              </w:rPr>
            </w:pPr>
            <w:r w:rsidRPr="004874C7">
              <w:rPr>
                <w:rFonts w:ascii="Arial"/>
                <w:color w:val="231F20"/>
                <w:sz w:val="22"/>
              </w:rPr>
              <w:t>Highly knowledgeable and/or influential in</w:t>
            </w:r>
            <w:r w:rsidRPr="004874C7">
              <w:rPr>
                <w:rFonts w:ascii="Arial"/>
                <w:color w:val="231F20"/>
                <w:spacing w:val="-35"/>
                <w:sz w:val="22"/>
              </w:rPr>
              <w:t xml:space="preserve"> </w:t>
            </w:r>
            <w:r w:rsidRPr="004874C7">
              <w:rPr>
                <w:rFonts w:ascii="Arial"/>
                <w:color w:val="231F20"/>
                <w:sz w:val="22"/>
              </w:rPr>
              <w:t>this</w:t>
            </w:r>
            <w:r w:rsidRPr="004874C7">
              <w:rPr>
                <w:rFonts w:ascii="Arial"/>
                <w:color w:val="231F20"/>
                <w:spacing w:val="-7"/>
                <w:sz w:val="22"/>
              </w:rPr>
              <w:t xml:space="preserve"> </w:t>
            </w:r>
            <w:r w:rsidRPr="004874C7">
              <w:rPr>
                <w:rFonts w:ascii="Arial"/>
                <w:color w:val="231F20"/>
                <w:sz w:val="22"/>
              </w:rPr>
              <w:t>niche/network/profession/etc.</w:t>
            </w:r>
            <w:r w:rsidRPr="004874C7">
              <w:rPr>
                <w:rFonts w:ascii="Arial"/>
                <w:color w:val="231F20"/>
                <w:sz w:val="22"/>
                <w:u w:val="single" w:color="221E1F"/>
              </w:rPr>
              <w:t xml:space="preserve"> </w:t>
            </w:r>
            <w:r w:rsidRPr="004874C7">
              <w:rPr>
                <w:rFonts w:ascii="Arial"/>
                <w:color w:val="231F20"/>
                <w:sz w:val="22"/>
                <w:u w:val="single" w:color="221E1F"/>
              </w:rPr>
              <w:tab/>
            </w:r>
            <w:r w:rsidRPr="004874C7">
              <w:rPr>
                <w:rFonts w:ascii="Arial"/>
                <w:color w:val="231F20"/>
                <w:sz w:val="22"/>
              </w:rPr>
              <w:t>.</w:t>
            </w:r>
          </w:p>
        </w:tc>
      </w:tr>
    </w:tbl>
    <w:p w14:paraId="77C78DFF" w14:textId="77777777" w:rsidR="00A453B6" w:rsidRDefault="00A453B6" w:rsidP="00720DC2"/>
    <w:sectPr w:rsidR="00A453B6" w:rsidSect="00720DC2">
      <w:headerReference w:type="default" r:id="rId10"/>
      <w:footerReference w:type="even" r:id="rId11"/>
      <w:footerReference w:type="default" r:id="rId12"/>
      <w:type w:val="continuous"/>
      <w:pgSz w:w="12240" w:h="15840"/>
      <w:pgMar w:top="1213" w:right="1040" w:bottom="632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0D72" w14:textId="77777777" w:rsidR="00781307" w:rsidRDefault="00781307" w:rsidP="00803582">
      <w:r>
        <w:separator/>
      </w:r>
    </w:p>
  </w:endnote>
  <w:endnote w:type="continuationSeparator" w:id="0">
    <w:p w14:paraId="228FC81A" w14:textId="77777777" w:rsidR="00781307" w:rsidRDefault="00781307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DAA083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4C8FAB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DDB68" w14:textId="44139FF2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3FEBF103" w14:textId="77777777" w:rsidR="00720DC2" w:rsidRPr="007A6080" w:rsidRDefault="00720DC2" w:rsidP="00720DC2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1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10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1D846093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681C" w14:textId="77777777" w:rsidR="00781307" w:rsidRDefault="00781307" w:rsidP="00803582">
      <w:r>
        <w:separator/>
      </w:r>
    </w:p>
  </w:footnote>
  <w:footnote w:type="continuationSeparator" w:id="0">
    <w:p w14:paraId="36ED3819" w14:textId="77777777" w:rsidR="00781307" w:rsidRDefault="00781307" w:rsidP="00803582">
      <w:r>
        <w:continuationSeparator/>
      </w:r>
    </w:p>
  </w:footnote>
  <w:footnote w:id="1">
    <w:p w14:paraId="59B25E16" w14:textId="77777777" w:rsidR="000C346B" w:rsidRPr="000C346B" w:rsidRDefault="000C346B" w:rsidP="000C346B">
      <w:pPr>
        <w:widowControl/>
        <w:adjustRightInd w:val="0"/>
        <w:ind w:left="108" w:right="-1960"/>
        <w:rPr>
          <w:rFonts w:ascii="Helvetica" w:eastAsiaTheme="minorHAnsi" w:hAnsi="Helvetica" w:cs="Helvetica"/>
          <w:kern w:val="1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C346B">
        <w:rPr>
          <w:rFonts w:ascii="HelveticaLT" w:eastAsiaTheme="minorHAnsi" w:hAnsi="HelveticaLT" w:cs="HelveticaLT"/>
          <w:i/>
          <w:iCs/>
          <w:color w:val="231F20"/>
          <w:spacing w:val="-5"/>
          <w:kern w:val="1"/>
          <w:sz w:val="18"/>
          <w:szCs w:val="18"/>
        </w:rPr>
        <w:t xml:space="preserve">ECFA </w:t>
      </w:r>
      <w:r w:rsidRPr="000C346B">
        <w:rPr>
          <w:rFonts w:ascii="HelveticaLT" w:eastAsiaTheme="minorHAnsi" w:hAnsi="HelveticaLT" w:cs="HelveticaLT"/>
          <w:i/>
          <w:iCs/>
          <w:color w:val="231F20"/>
          <w:kern w:val="1"/>
          <w:sz w:val="18"/>
          <w:szCs w:val="18"/>
        </w:rPr>
        <w:t xml:space="preserve">Governance </w:t>
      </w:r>
      <w:r w:rsidRPr="000C346B">
        <w:rPr>
          <w:rFonts w:ascii="HelveticaLT" w:eastAsiaTheme="minorHAnsi" w:hAnsi="HelveticaLT" w:cs="HelveticaLT"/>
          <w:i/>
          <w:iCs/>
          <w:color w:val="231F20"/>
          <w:spacing w:val="-5"/>
          <w:kern w:val="1"/>
          <w:sz w:val="18"/>
          <w:szCs w:val="18"/>
        </w:rPr>
        <w:t xml:space="preserve">Toolbox </w:t>
      </w:r>
      <w:r w:rsidRPr="000C346B">
        <w:rPr>
          <w:rFonts w:ascii="HelveticaLT" w:eastAsiaTheme="minorHAnsi" w:hAnsi="HelveticaLT" w:cs="HelveticaLT"/>
          <w:i/>
          <w:iCs/>
          <w:color w:val="231F20"/>
          <w:kern w:val="1"/>
          <w:sz w:val="18"/>
          <w:szCs w:val="18"/>
        </w:rPr>
        <w:t xml:space="preserve">Series </w:t>
      </w:r>
      <w:r w:rsidRPr="000C346B">
        <w:rPr>
          <w:rFonts w:ascii="HelveticaLT" w:eastAsiaTheme="minorHAnsi" w:hAnsi="HelveticaLT" w:cs="HelveticaLT"/>
          <w:i/>
          <w:iCs/>
          <w:color w:val="231F20"/>
          <w:spacing w:val="-3"/>
          <w:kern w:val="1"/>
          <w:sz w:val="18"/>
          <w:szCs w:val="18"/>
        </w:rPr>
        <w:t xml:space="preserve">No. </w:t>
      </w:r>
      <w:r w:rsidRPr="000C346B">
        <w:rPr>
          <w:rFonts w:ascii="HelveticaLT" w:eastAsiaTheme="minorHAnsi" w:hAnsi="HelveticaLT" w:cs="HelveticaLT"/>
          <w:i/>
          <w:iCs/>
          <w:color w:val="231F20"/>
          <w:kern w:val="1"/>
          <w:sz w:val="18"/>
          <w:szCs w:val="18"/>
        </w:rPr>
        <w:t xml:space="preserve">1: Recruiting Board Members. </w:t>
      </w:r>
      <w:r w:rsidRPr="000C346B">
        <w:rPr>
          <w:rFonts w:ascii="HelveticaLT" w:eastAsiaTheme="minorHAnsi" w:hAnsi="HelveticaLT" w:cs="HelveticaLT"/>
          <w:color w:val="231F20"/>
          <w:kern w:val="1"/>
          <w:sz w:val="18"/>
          <w:szCs w:val="18"/>
        </w:rPr>
        <w:t xml:space="preserve">Visit </w:t>
      </w:r>
      <w:hyperlink r:id="rId1" w:history="1">
        <w:r w:rsidRPr="000C346B">
          <w:rPr>
            <w:rFonts w:ascii="HelveticaLT" w:eastAsiaTheme="minorHAnsi" w:hAnsi="HelveticaLT" w:cs="HelveticaLT"/>
            <w:i/>
            <w:iCs/>
            <w:color w:val="231F20"/>
            <w:spacing w:val="-4"/>
            <w:kern w:val="1"/>
            <w:sz w:val="18"/>
            <w:szCs w:val="18"/>
          </w:rPr>
          <w:t xml:space="preserve">www.ECFA.org/Toolbox </w:t>
        </w:r>
      </w:hyperlink>
      <w:r w:rsidRPr="000C346B">
        <w:rPr>
          <w:rFonts w:ascii="HelveticaLT" w:eastAsiaTheme="minorHAnsi" w:hAnsi="HelveticaLT" w:cs="HelveticaLT"/>
          <w:color w:val="231F20"/>
          <w:kern w:val="1"/>
          <w:sz w:val="18"/>
          <w:szCs w:val="18"/>
        </w:rPr>
        <w:t>and download the</w:t>
      </w:r>
    </w:p>
    <w:p w14:paraId="2AD05234" w14:textId="77777777" w:rsidR="000C346B" w:rsidRPr="000C346B" w:rsidRDefault="000C346B" w:rsidP="000C346B">
      <w:pPr>
        <w:pStyle w:val="FootnoteText"/>
        <w:rPr>
          <w:sz w:val="18"/>
          <w:szCs w:val="18"/>
        </w:rPr>
      </w:pPr>
      <w:r w:rsidRPr="000C346B">
        <w:rPr>
          <w:rFonts w:ascii="HelveticaLT" w:eastAsiaTheme="minorHAnsi" w:hAnsi="HelveticaLT" w:cs="HelveticaLT"/>
          <w:i/>
          <w:iCs/>
          <w:color w:val="231F20"/>
          <w:kern w:val="1"/>
          <w:sz w:val="18"/>
          <w:szCs w:val="18"/>
        </w:rPr>
        <w:t xml:space="preserve">Board Member Read-and-Engage Viewing Guide </w:t>
      </w:r>
      <w:r w:rsidRPr="000C346B">
        <w:rPr>
          <w:rFonts w:ascii="HelveticaLT" w:eastAsiaTheme="minorHAnsi" w:hAnsi="HelveticaLT" w:cs="HelveticaLT"/>
          <w:color w:val="231F20"/>
          <w:kern w:val="1"/>
          <w:sz w:val="18"/>
          <w:szCs w:val="18"/>
        </w:rPr>
        <w:t xml:space="preserve">and the </w:t>
      </w:r>
      <w:r w:rsidRPr="000C346B">
        <w:rPr>
          <w:rFonts w:ascii="HelveticaLT" w:eastAsiaTheme="minorHAnsi" w:hAnsi="HelveticaLT" w:cs="HelveticaLT"/>
          <w:i/>
          <w:iCs/>
          <w:color w:val="231F20"/>
          <w:kern w:val="1"/>
          <w:sz w:val="18"/>
          <w:szCs w:val="18"/>
        </w:rPr>
        <w:t>Facilitator Guide</w:t>
      </w:r>
      <w:r w:rsidRPr="000C346B">
        <w:rPr>
          <w:rFonts w:eastAsiaTheme="minorHAnsi" w:cs="Helvetica"/>
          <w:color w:val="231F20"/>
          <w:kern w:val="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802F" w14:textId="24F22A52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86495E" wp14:editId="25B98865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9BBD2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656BF5">
      <w:rPr>
        <w:color w:val="636466"/>
      </w:rPr>
      <w:t>1</w:t>
    </w:r>
    <w:r>
      <w:rPr>
        <w:color w:val="636466"/>
      </w:rPr>
      <w:t xml:space="preserve">: </w:t>
    </w:r>
    <w:r w:rsidR="00656BF5">
      <w:rPr>
        <w:color w:val="636466"/>
      </w:rPr>
      <w:t>The 6 D’s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6B"/>
    <w:rsid w:val="00024ED0"/>
    <w:rsid w:val="000C346B"/>
    <w:rsid w:val="00125590"/>
    <w:rsid w:val="00210CA5"/>
    <w:rsid w:val="00242AE5"/>
    <w:rsid w:val="002E32FB"/>
    <w:rsid w:val="003428F1"/>
    <w:rsid w:val="00362A7E"/>
    <w:rsid w:val="00374EAF"/>
    <w:rsid w:val="003B2922"/>
    <w:rsid w:val="004108B3"/>
    <w:rsid w:val="004874C7"/>
    <w:rsid w:val="004C6807"/>
    <w:rsid w:val="00530CC2"/>
    <w:rsid w:val="00590728"/>
    <w:rsid w:val="005A5F24"/>
    <w:rsid w:val="00634010"/>
    <w:rsid w:val="00656BF5"/>
    <w:rsid w:val="006815E1"/>
    <w:rsid w:val="006F2139"/>
    <w:rsid w:val="00720DC2"/>
    <w:rsid w:val="007739C1"/>
    <w:rsid w:val="00781307"/>
    <w:rsid w:val="00803582"/>
    <w:rsid w:val="008518A3"/>
    <w:rsid w:val="008760C5"/>
    <w:rsid w:val="0097491F"/>
    <w:rsid w:val="009E259A"/>
    <w:rsid w:val="009F34A0"/>
    <w:rsid w:val="00A453B6"/>
    <w:rsid w:val="00AB5FCE"/>
    <w:rsid w:val="00B14FA8"/>
    <w:rsid w:val="00BA36E5"/>
    <w:rsid w:val="00C052E4"/>
    <w:rsid w:val="00CB208B"/>
    <w:rsid w:val="00D16542"/>
    <w:rsid w:val="00D44D75"/>
    <w:rsid w:val="00D85E0C"/>
    <w:rsid w:val="00DA4099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2BFFE"/>
  <w15:docId w15:val="{4BF2AE67-1AB9-234A-85D4-7487990A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346B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rFonts w:ascii="Helvetica" w:hAnsi="Helvetica"/>
      <w:sz w:val="20"/>
      <w:szCs w:val="20"/>
    </w:rPr>
  </w:style>
  <w:style w:type="paragraph" w:styleId="ListParagraph">
    <w:name w:val="List Paragraph"/>
    <w:basedOn w:val="Normal"/>
    <w:uiPriority w:val="1"/>
    <w:qFormat/>
    <w:rPr>
      <w:rFonts w:ascii="Helvetica" w:hAnsi="Helvetica"/>
    </w:rPr>
  </w:style>
  <w:style w:type="paragraph" w:customStyle="1" w:styleId="TableParagraph">
    <w:name w:val="Table Paragraph"/>
    <w:basedOn w:val="Normal"/>
    <w:uiPriority w:val="1"/>
    <w:qFormat/>
    <w:rsid w:val="008518A3"/>
    <w:rPr>
      <w:rFonts w:ascii="Helvetica" w:hAnsi="Helvetic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rFonts w:ascii="Helvetica" w:hAnsi="Helvetic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#1_Pathway_to_the_Boar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FA.org/Toolbo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3F0708-A2F3-E247-8367-ED8BF216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11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9</cp:revision>
  <cp:lastPrinted>2019-09-09T18:54:00Z</cp:lastPrinted>
  <dcterms:created xsi:type="dcterms:W3CDTF">2019-09-05T21:17:00Z</dcterms:created>
  <dcterms:modified xsi:type="dcterms:W3CDTF">2019-09-11T20:20:00Z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